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231" w:rsidRDefault="00EA7351" w:rsidP="00FF2414">
      <w:pPr>
        <w:pStyle w:val="HTMLPreformatted"/>
        <w:rPr>
          <w:rFonts w:ascii="Times New Roman" w:hAnsi="Times New Roman"/>
          <w:b/>
          <w:bCs/>
          <w:kern w:val="36"/>
          <w:sz w:val="28"/>
          <w:szCs w:val="28"/>
          <w:lang w:val="sr-Latn-RS"/>
        </w:rPr>
      </w:pPr>
      <w:r>
        <w:rPr>
          <w:rFonts w:ascii="Times New Roman" w:hAnsi="Times New Roman"/>
          <w:b/>
          <w:bCs/>
          <w:kern w:val="36"/>
          <w:sz w:val="28"/>
          <w:szCs w:val="28"/>
          <w:lang w:val="sr-Latn-RS"/>
        </w:rPr>
        <w:t xml:space="preserve">The following is </w:t>
      </w:r>
      <w:r w:rsidR="00FF2414">
        <w:rPr>
          <w:rFonts w:ascii="Times New Roman" w:hAnsi="Times New Roman"/>
          <w:b/>
          <w:bCs/>
          <w:kern w:val="36"/>
          <w:sz w:val="28"/>
          <w:szCs w:val="28"/>
          <w:lang w:val="sr-Latn-RS"/>
        </w:rPr>
        <w:t>FATF P</w:t>
      </w:r>
      <w:r w:rsidR="009B3005">
        <w:rPr>
          <w:rFonts w:ascii="Times New Roman" w:hAnsi="Times New Roman"/>
          <w:b/>
          <w:bCs/>
          <w:kern w:val="36"/>
          <w:sz w:val="28"/>
          <w:szCs w:val="28"/>
          <w:lang w:val="sr-Latn-RS"/>
        </w:rPr>
        <w:t xml:space="preserve">ublic Statement of </w:t>
      </w:r>
      <w:r w:rsidR="00723231">
        <w:rPr>
          <w:rFonts w:ascii="Times New Roman" w:hAnsi="Times New Roman"/>
          <w:b/>
          <w:bCs/>
          <w:kern w:val="36"/>
          <w:sz w:val="28"/>
          <w:szCs w:val="28"/>
          <w:lang w:val="sr-Latn-RS"/>
        </w:rPr>
        <w:t>21</w:t>
      </w:r>
      <w:r w:rsidR="00FF2414">
        <w:rPr>
          <w:rFonts w:ascii="Times New Roman" w:hAnsi="Times New Roman"/>
          <w:b/>
          <w:bCs/>
          <w:kern w:val="36"/>
          <w:sz w:val="28"/>
          <w:szCs w:val="28"/>
          <w:lang w:val="sr-Latn-RS"/>
        </w:rPr>
        <w:t xml:space="preserve"> </w:t>
      </w:r>
      <w:r w:rsidR="00723231">
        <w:rPr>
          <w:rFonts w:ascii="Times New Roman" w:hAnsi="Times New Roman"/>
          <w:b/>
          <w:bCs/>
          <w:kern w:val="36"/>
          <w:sz w:val="28"/>
          <w:szCs w:val="28"/>
          <w:lang w:val="sr-Latn-RS"/>
        </w:rPr>
        <w:t>February 2025</w:t>
      </w:r>
      <w:r w:rsidR="00FF2414">
        <w:rPr>
          <w:rFonts w:ascii="Times New Roman" w:hAnsi="Times New Roman"/>
          <w:b/>
          <w:bCs/>
          <w:kern w:val="36"/>
          <w:sz w:val="28"/>
          <w:szCs w:val="28"/>
          <w:lang w:val="sr-Latn-RS"/>
        </w:rPr>
        <w:t xml:space="preserve"> </w:t>
      </w:r>
    </w:p>
    <w:p w:rsidR="00FF2414" w:rsidRPr="00FF2414" w:rsidRDefault="00FF2414" w:rsidP="00FF2414">
      <w:pPr>
        <w:pStyle w:val="HTMLPreformatted"/>
        <w:rPr>
          <w:rFonts w:ascii="Times New Roman" w:hAnsi="Times New Roman" w:cs="Times New Roman"/>
          <w:sz w:val="24"/>
          <w:szCs w:val="24"/>
        </w:rPr>
      </w:pPr>
      <w:r>
        <w:rPr>
          <w:rFonts w:ascii="Times New Roman" w:hAnsi="Times New Roman"/>
          <w:b/>
          <w:bCs/>
          <w:kern w:val="36"/>
          <w:sz w:val="28"/>
          <w:szCs w:val="28"/>
          <w:lang w:val="sr-Latn-RS"/>
        </w:rPr>
        <w:t>(</w:t>
      </w:r>
      <w:hyperlink r:id="rId8" w:history="1">
        <w:r w:rsidR="00723231" w:rsidRPr="000D74D0">
          <w:rPr>
            <w:rStyle w:val="Hyperlink"/>
            <w:rFonts w:ascii="Times New Roman" w:hAnsi="Times New Roman" w:cs="Times New Roman"/>
            <w:b/>
            <w:bCs/>
            <w:sz w:val="24"/>
            <w:szCs w:val="24"/>
            <w:lang w:val="sr-Latn-RS"/>
          </w:rPr>
          <w:t>https://www.fatf-gafi.org/en/publications/High-risk-and-other-monitored-jurisdictions/Call-for-action-february-2025.html</w:t>
        </w:r>
      </w:hyperlink>
      <w:r>
        <w:rPr>
          <w:rFonts w:ascii="Times New Roman" w:hAnsi="Times New Roman"/>
          <w:b/>
          <w:bCs/>
          <w:kern w:val="36"/>
          <w:sz w:val="28"/>
          <w:szCs w:val="28"/>
          <w:lang w:val="sr-Latn-RS"/>
        </w:rPr>
        <w:t>)</w:t>
      </w:r>
      <w:r>
        <w:rPr>
          <w:rFonts w:ascii="Times New Roman" w:hAnsi="Times New Roman" w:cs="Times New Roman"/>
          <w:b/>
          <w:sz w:val="24"/>
          <w:szCs w:val="24"/>
        </w:rPr>
        <w:t>:</w:t>
      </w:r>
    </w:p>
    <w:p w:rsidR="003324E4" w:rsidRDefault="003324E4" w:rsidP="00C454F6">
      <w:pPr>
        <w:pStyle w:val="NormalWeb"/>
        <w:jc w:val="both"/>
      </w:pPr>
      <w:r w:rsidRPr="00FF2414">
        <w:rPr>
          <w:b/>
          <w:i/>
          <w:iCs/>
        </w:rPr>
        <w:t xml:space="preserve">Paris, </w:t>
      </w:r>
      <w:r w:rsidR="00723231">
        <w:rPr>
          <w:b/>
          <w:i/>
          <w:iCs/>
        </w:rPr>
        <w:t>21</w:t>
      </w:r>
      <w:r w:rsidRPr="00FF2414">
        <w:rPr>
          <w:b/>
          <w:i/>
          <w:iCs/>
        </w:rPr>
        <w:t xml:space="preserve"> </w:t>
      </w:r>
      <w:r w:rsidR="00723231">
        <w:rPr>
          <w:b/>
          <w:i/>
          <w:iCs/>
        </w:rPr>
        <w:t>February 2025</w:t>
      </w:r>
      <w:r>
        <w:rPr>
          <w:i/>
          <w:iCs/>
        </w:rPr>
        <w:t xml:space="preserve"> </w:t>
      </w:r>
      <w:r>
        <w:t>– High-risk jurisdictions have significant strategic deficiencies in</w:t>
      </w:r>
      <w:r w:rsidR="004E7E84">
        <w:t xml:space="preserve"> their regimes to counter money </w:t>
      </w:r>
      <w:r>
        <w:t>laundering, terrorist financing, and financing of proliferation. For all countries identified as high-risk, the FATF calls on all members and urges all jurisdictions to apply enhanced due diligence, and, in the</w:t>
      </w:r>
      <w:r w:rsidRPr="00FF2414">
        <w:rPr>
          <w:sz w:val="22"/>
        </w:rPr>
        <w:t xml:space="preserve"> most </w:t>
      </w:r>
      <w:r>
        <w:t>serious cases, countries are called upon to apply counter-measures to protect the international financial system from the money laundering, terrorist financing, and proliferation financing (ML/TF/PF) risks emanating from the country. This list is often externally referred to as the “black list”. </w:t>
      </w:r>
    </w:p>
    <w:p w:rsidR="003324E4" w:rsidRDefault="003324E4" w:rsidP="00C454F6">
      <w:pPr>
        <w:pStyle w:val="NormalWeb"/>
        <w:jc w:val="both"/>
      </w:pPr>
      <w:r>
        <w:t>Since February 2020, Iran reported in January and August 2024 with no material changes in the status of its action plan. </w:t>
      </w:r>
    </w:p>
    <w:p w:rsidR="003324E4" w:rsidRDefault="003324E4" w:rsidP="00C454F6">
      <w:pPr>
        <w:pStyle w:val="NormalWeb"/>
        <w:jc w:val="both"/>
      </w:pPr>
      <w:r>
        <w:t>Given heightened proliferation financing risks, the FATF reiterates its call to apply countermeasures on these high-risk jurisdictions.</w:t>
      </w:r>
    </w:p>
    <w:p w:rsidR="00960359" w:rsidRDefault="003324E4" w:rsidP="00960359">
      <w:pPr>
        <w:pStyle w:val="Heading5"/>
        <w:jc w:val="both"/>
        <w:rPr>
          <w:rFonts w:ascii="Times New Roman" w:hAnsi="Times New Roman"/>
          <w:bCs w:val="0"/>
          <w:i w:val="0"/>
          <w:iCs w:val="0"/>
          <w:sz w:val="28"/>
          <w:szCs w:val="28"/>
          <w:u w:val="single"/>
        </w:rPr>
      </w:pPr>
      <w:r w:rsidRPr="00DC7055">
        <w:rPr>
          <w:rFonts w:ascii="Times New Roman" w:hAnsi="Times New Roman"/>
          <w:bCs w:val="0"/>
          <w:i w:val="0"/>
          <w:iCs w:val="0"/>
          <w:sz w:val="28"/>
          <w:szCs w:val="28"/>
          <w:u w:val="single"/>
        </w:rPr>
        <w:t>Jurisdictions subject to a FATF call on its members and other jurisdictions to apply countermeasures</w:t>
      </w:r>
      <w:r w:rsidR="0038459C" w:rsidRPr="0038459C">
        <w:rPr>
          <w:rFonts w:ascii="Times New Roman" w:hAnsi="Times New Roman"/>
          <w:bCs w:val="0"/>
          <w:i w:val="0"/>
          <w:iCs w:val="0"/>
          <w:sz w:val="28"/>
          <w:szCs w:val="28"/>
          <w:u w:val="single"/>
        </w:rPr>
        <w:t xml:space="preserve"> –"black list"</w:t>
      </w:r>
    </w:p>
    <w:p w:rsidR="00960359" w:rsidRPr="00960359" w:rsidRDefault="00960359" w:rsidP="00960359"/>
    <w:p w:rsidR="00DC7055" w:rsidRDefault="00DC7055" w:rsidP="00C454F6">
      <w:pPr>
        <w:spacing w:after="0"/>
        <w:jc w:val="both"/>
        <w:rPr>
          <w:rFonts w:ascii="Times New Roman" w:eastAsia="Times New Roman" w:hAnsi="Times New Roman"/>
          <w:b/>
          <w:sz w:val="24"/>
          <w:szCs w:val="24"/>
        </w:rPr>
      </w:pPr>
      <w:r w:rsidRPr="00DC7055">
        <w:rPr>
          <w:rFonts w:ascii="Times New Roman" w:eastAsia="Times New Roman" w:hAnsi="Times New Roman"/>
          <w:b/>
          <w:sz w:val="24"/>
          <w:szCs w:val="24"/>
        </w:rPr>
        <w:t>DEMOCRATIC PEOPLE'S REPUBLIC OF KOREA (DPRK)</w:t>
      </w:r>
    </w:p>
    <w:p w:rsidR="00DC7055" w:rsidRPr="00DC7055" w:rsidRDefault="00DC7055" w:rsidP="00C454F6">
      <w:pPr>
        <w:spacing w:after="0"/>
        <w:jc w:val="both"/>
        <w:rPr>
          <w:rFonts w:ascii="Times New Roman" w:eastAsia="Times New Roman" w:hAnsi="Times New Roman"/>
          <w:b/>
          <w:sz w:val="24"/>
          <w:szCs w:val="24"/>
        </w:rPr>
      </w:pPr>
    </w:p>
    <w:p w:rsidR="00DC7055" w:rsidRPr="00DC7055" w:rsidRDefault="00DC7055" w:rsidP="00C454F6">
      <w:pPr>
        <w:spacing w:after="0"/>
        <w:jc w:val="both"/>
        <w:rPr>
          <w:rFonts w:ascii="Times New Roman" w:eastAsia="Times New Roman" w:hAnsi="Times New Roman"/>
          <w:sz w:val="24"/>
          <w:szCs w:val="24"/>
        </w:rPr>
      </w:pPr>
      <w:r w:rsidRPr="00DC7055">
        <w:rPr>
          <w:rFonts w:ascii="Times New Roman" w:eastAsia="Times New Roman" w:hAnsi="Times New Roman"/>
          <w:sz w:val="24"/>
          <w:szCs w:val="24"/>
        </w:rPr>
        <w:t>Building upon the FATF statements over the past decade, the FATF remains concerned by the DPRK’s continued failure to address the significant deficiencies in its anti-money laundering and combating the financing of terrorism (AML/CFT) regime and the serious threats posed by the DPRK’s illicit activities related to the proliferation of weapons of mass destruction (WMDs) and its financing.</w:t>
      </w:r>
    </w:p>
    <w:p w:rsidR="00DC7055" w:rsidRPr="00DC7055" w:rsidRDefault="00DC7055" w:rsidP="00C454F6">
      <w:pPr>
        <w:spacing w:after="0"/>
        <w:jc w:val="both"/>
        <w:rPr>
          <w:rFonts w:ascii="Times New Roman" w:eastAsia="Times New Roman" w:hAnsi="Times New Roman"/>
          <w:sz w:val="24"/>
          <w:szCs w:val="24"/>
        </w:rPr>
      </w:pPr>
      <w:r w:rsidRPr="00DC7055">
        <w:rPr>
          <w:rFonts w:ascii="Times New Roman" w:eastAsia="Times New Roman" w:hAnsi="Times New Roman"/>
          <w:sz w:val="24"/>
          <w:szCs w:val="24"/>
        </w:rPr>
        <w:t>The FATF has continually reiterated since 2011 the need for all countries to robustly implement the targeted financial sanctions in accordance with UNSC Resolutions and apply the following countermeasures to protect their financial systems from the money laundering, terrorist financing, and proliferation financing threat emanating from DPRK: </w:t>
      </w:r>
    </w:p>
    <w:p w:rsidR="00DC7055" w:rsidRPr="00DC7055" w:rsidRDefault="00DC7055" w:rsidP="00C454F6">
      <w:pPr>
        <w:numPr>
          <w:ilvl w:val="0"/>
          <w:numId w:val="1"/>
        </w:numPr>
        <w:spacing w:after="0"/>
        <w:jc w:val="both"/>
        <w:rPr>
          <w:rFonts w:ascii="Times New Roman" w:eastAsia="Times New Roman" w:hAnsi="Times New Roman"/>
          <w:sz w:val="24"/>
          <w:szCs w:val="24"/>
        </w:rPr>
      </w:pPr>
      <w:r w:rsidRPr="00DC7055">
        <w:rPr>
          <w:rFonts w:ascii="Times New Roman" w:eastAsia="Times New Roman" w:hAnsi="Times New Roman"/>
          <w:sz w:val="24"/>
          <w:szCs w:val="24"/>
        </w:rPr>
        <w:t>Terminate correspondent relationships with DPRK banks;</w:t>
      </w:r>
    </w:p>
    <w:p w:rsidR="00DC7055" w:rsidRPr="00DC7055" w:rsidRDefault="00DC7055" w:rsidP="00C454F6">
      <w:pPr>
        <w:numPr>
          <w:ilvl w:val="0"/>
          <w:numId w:val="1"/>
        </w:numPr>
        <w:spacing w:after="0"/>
        <w:jc w:val="both"/>
        <w:rPr>
          <w:rFonts w:ascii="Times New Roman" w:eastAsia="Times New Roman" w:hAnsi="Times New Roman"/>
          <w:sz w:val="24"/>
          <w:szCs w:val="24"/>
        </w:rPr>
      </w:pPr>
      <w:r w:rsidRPr="00DC7055">
        <w:rPr>
          <w:rFonts w:ascii="Times New Roman" w:eastAsia="Times New Roman" w:hAnsi="Times New Roman"/>
          <w:sz w:val="24"/>
          <w:szCs w:val="24"/>
        </w:rPr>
        <w:t>Close any subsidiaries or branches of DPRK banks in their countries; and</w:t>
      </w:r>
    </w:p>
    <w:p w:rsidR="00DC7055" w:rsidRPr="00DC7055" w:rsidRDefault="00DC7055" w:rsidP="00C454F6">
      <w:pPr>
        <w:numPr>
          <w:ilvl w:val="0"/>
          <w:numId w:val="1"/>
        </w:numPr>
        <w:spacing w:after="0"/>
        <w:jc w:val="both"/>
        <w:rPr>
          <w:rFonts w:ascii="Times New Roman" w:eastAsia="Times New Roman" w:hAnsi="Times New Roman"/>
          <w:sz w:val="24"/>
          <w:szCs w:val="24"/>
        </w:rPr>
      </w:pPr>
      <w:r w:rsidRPr="00DC7055">
        <w:rPr>
          <w:rFonts w:ascii="Times New Roman" w:eastAsia="Times New Roman" w:hAnsi="Times New Roman"/>
          <w:sz w:val="24"/>
          <w:szCs w:val="24"/>
        </w:rPr>
        <w:t>Limit business relationships &amp; financial transactions with DPRK persons. </w:t>
      </w:r>
    </w:p>
    <w:p w:rsidR="00DC7055" w:rsidRPr="00DC7055" w:rsidRDefault="00DC7055" w:rsidP="00C454F6">
      <w:pPr>
        <w:spacing w:after="0"/>
        <w:jc w:val="both"/>
        <w:rPr>
          <w:rFonts w:ascii="Times New Roman" w:eastAsia="Times New Roman" w:hAnsi="Times New Roman"/>
          <w:sz w:val="24"/>
          <w:szCs w:val="24"/>
        </w:rPr>
      </w:pPr>
      <w:r w:rsidRPr="00DC7055">
        <w:rPr>
          <w:rFonts w:ascii="Times New Roman" w:eastAsia="Times New Roman" w:hAnsi="Times New Roman"/>
          <w:sz w:val="24"/>
          <w:szCs w:val="24"/>
        </w:rPr>
        <w:t xml:space="preserve">Despite these calls, DPRK has increased connectivity with the international financial system, which raises proliferation financing (PF) risks, as the FATF noted in February 2024. This requires greater vigilance and renewed implementation and enforcement of these countermeasures against the DPRK. As set out in UNSCR 2270, DPRK frequently uses front companies, shell companies, joint ventures and complex, opaque ownership structures for the purpose of violating sanctions. </w:t>
      </w:r>
      <w:r w:rsidRPr="00DC7055">
        <w:rPr>
          <w:rFonts w:ascii="Times New Roman" w:eastAsia="Times New Roman" w:hAnsi="Times New Roman"/>
          <w:sz w:val="24"/>
          <w:szCs w:val="24"/>
        </w:rPr>
        <w:lastRenderedPageBreak/>
        <w:t>As such, FATF encourages its members and all countries to apply enhanced due diligence to the DPRK and its ability to facilitate transactions on its behalf.</w:t>
      </w:r>
    </w:p>
    <w:p w:rsidR="00DC7055" w:rsidRPr="00DC7055" w:rsidRDefault="00DC7055" w:rsidP="00C454F6">
      <w:pPr>
        <w:spacing w:after="0"/>
        <w:jc w:val="both"/>
        <w:rPr>
          <w:rFonts w:ascii="Times New Roman" w:eastAsia="Times New Roman" w:hAnsi="Times New Roman"/>
          <w:sz w:val="24"/>
          <w:szCs w:val="24"/>
        </w:rPr>
      </w:pPr>
      <w:r w:rsidRPr="00DC7055">
        <w:rPr>
          <w:rFonts w:ascii="Times New Roman" w:eastAsia="Times New Roman" w:hAnsi="Times New Roman"/>
          <w:sz w:val="24"/>
          <w:szCs w:val="24"/>
        </w:rPr>
        <w:t>The FATF also urges countries to adequately assess and account for the increased proliferation financing risk with the greater financial connectivity reported, particularly since the next round of assessments requires countries to adequately assess PF risks under Recommendation 1 and Immediate Outcome 11. The ability to obtain reliable and credible information to support the assessment of PF risks relating to the DPRK is hampered by the recent termination of the 1718 Committee Panel of Experts mandate. Thus, the FATF will monitor the measures to comply with DPRK targeted financial sanctions and the implementation of countermeasures against DPRK.</w:t>
      </w:r>
    </w:p>
    <w:p w:rsidR="00DC7055" w:rsidRPr="00DC7055" w:rsidRDefault="00DC7055" w:rsidP="00C454F6">
      <w:pPr>
        <w:pStyle w:val="Heading3"/>
        <w:jc w:val="both"/>
        <w:rPr>
          <w:rFonts w:ascii="Times New Roman" w:hAnsi="Times New Roman"/>
          <w:bCs w:val="0"/>
          <w:sz w:val="24"/>
          <w:szCs w:val="24"/>
        </w:rPr>
      </w:pPr>
      <w:r w:rsidRPr="00DC7055">
        <w:rPr>
          <w:rFonts w:ascii="Times New Roman" w:hAnsi="Times New Roman"/>
          <w:bCs w:val="0"/>
          <w:sz w:val="24"/>
          <w:szCs w:val="24"/>
        </w:rPr>
        <w:t>IRAN</w:t>
      </w:r>
    </w:p>
    <w:p w:rsidR="00DC7055" w:rsidRDefault="00DC7055" w:rsidP="00C454F6">
      <w:pPr>
        <w:pStyle w:val="NormalWeb"/>
        <w:jc w:val="both"/>
      </w:pPr>
      <w:r>
        <w:t>In June 2016, Iran committed to address its strategic deficiencies. Iran’s action plan expired in January 2018. In February 2020, the FATF noted Iran has not completed the a</w:t>
      </w:r>
      <w:r w:rsidR="00DF14D0">
        <w:t>ction plan.</w:t>
      </w:r>
    </w:p>
    <w:p w:rsidR="00DC7055" w:rsidRDefault="00DC7055" w:rsidP="00C454F6">
      <w:pPr>
        <w:pStyle w:val="NormalWeb"/>
        <w:jc w:val="both"/>
      </w:pPr>
      <w:r>
        <w:t>In October 2019, the FATF called upon its members and urged all jurisdictions to: require increased supervisory examination for branches and subsidiaries of financial institutions based in Iran; introduce enhanced relevant reporting mechanisms or systematic reporting of financial transactions; and require increased external audit requirements for financial groups with respect to any of their branches and subsidiaries located in Iran.</w:t>
      </w:r>
    </w:p>
    <w:p w:rsidR="00DC7055" w:rsidRDefault="00DC7055" w:rsidP="00C454F6">
      <w:pPr>
        <w:pStyle w:val="NormalWeb"/>
        <w:jc w:val="both"/>
      </w:pPr>
      <w:r>
        <w:t>Now, given Iran’s failure to enact the Palermo and Terrorist Financing Conventions in line with the FATF Standards, the FATF fully lifts the suspension of countermeasures and calls on its members and urges all jurisdictions to apply effective countermeasures, in line with Recommendation 19.</w:t>
      </w:r>
    </w:p>
    <w:p w:rsidR="00DC7055" w:rsidRDefault="00F93987" w:rsidP="00C454F6">
      <w:pPr>
        <w:pStyle w:val="NormalWeb"/>
        <w:jc w:val="both"/>
      </w:pPr>
      <w:r>
        <w:t xml:space="preserve">Iran will remain on the FATF statement on </w:t>
      </w:r>
      <w:hyperlink r:id="rId9" w:history="1">
        <w:r>
          <w:rPr>
            <w:rStyle w:val="Hyperlink"/>
          </w:rPr>
          <w:t>High Risk Jurisdictions Subject to a Call for Action</w:t>
        </w:r>
      </w:hyperlink>
      <w:r>
        <w:t> until the full Action Plan has been completed</w:t>
      </w:r>
      <w:r w:rsidR="00DC7055">
        <w:t>. If Iran ratifies the Palermo and Terrorist Financing Conventions, in line with the FATF standards, the FATF will decide on next steps, including whether to suspend countermeasures. Until Iran implements the measures required to address the deficiencies identified with respect to countering terrorism-financing in the Action Plan, the FATF will remain concerned with the terrorist financing risk emanating from Iran and the threat this poses to the international financial system.</w:t>
      </w:r>
    </w:p>
    <w:p w:rsidR="00DC7055" w:rsidRDefault="00DC7055" w:rsidP="00C454F6">
      <w:pPr>
        <w:pStyle w:val="NormalWeb"/>
        <w:jc w:val="both"/>
      </w:pPr>
      <w:r>
        <w:t>In June 2016, the FATF welcomed Iran’s high-level political commitment to address its strategic AML/CFT deficiencies, and its decision to seek technical assistance in the implementation of the Action Plan. Since 2016, Iran established a cash declaration regime, enacted amendments to its Counter-Terrorist Financing Act and its Anti-Money Laundering Act, and adopted an AML by-</w:t>
      </w:r>
      <w:proofErr w:type="gramStart"/>
      <w:r>
        <w:t>law</w:t>
      </w:r>
      <w:proofErr w:type="gramEnd"/>
      <w:r>
        <w:t>.</w:t>
      </w:r>
    </w:p>
    <w:p w:rsidR="00DC7055" w:rsidRDefault="00DC7055" w:rsidP="00C454F6">
      <w:pPr>
        <w:pStyle w:val="NormalWeb"/>
        <w:jc w:val="both"/>
      </w:pPr>
      <w:r>
        <w:t xml:space="preserve">In February 2020, the FATF noted that there are still items not completed and Iran should fully address: (1) adequately criminalizing terrorist financing, including by removing the exemption for designated groups “attempting to end foreign occupation, colonialism and racism”; (2) identifying and freezing terrorist assets in line with the relevant United Nations Security Council resolutions; (3) ensuring an adequate and enforceable customer due diligence regime; (4) demonstrating how </w:t>
      </w:r>
      <w:r>
        <w:lastRenderedPageBreak/>
        <w:t>authorities are identifying and sanctioning unlicensed money/value transfer service providers; (5) ratifying and implementing the Palermo and TF Conventions and clarifying the capability to provide mutual legal assistance; and (6) ensuring that financial institutions verify that wire transfers contain complete originator and beneficiary information.</w:t>
      </w:r>
    </w:p>
    <w:p w:rsidR="00DC7055" w:rsidRDefault="00DC7055" w:rsidP="00C454F6">
      <w:pPr>
        <w:pStyle w:val="NormalWeb"/>
        <w:jc w:val="both"/>
      </w:pPr>
      <w:r>
        <w:t>Countries should be able to apply appropriate countermeasures when called upon to do so by the FATF. Countries should also be able to apply countermeasures independently of any call by the FATF to do so. Such countermeasures should be effective and proportionate to the risks.</w:t>
      </w:r>
    </w:p>
    <w:p w:rsidR="00DC7055" w:rsidRDefault="00DC7055" w:rsidP="00C454F6">
      <w:pPr>
        <w:pStyle w:val="NormalWeb"/>
        <w:jc w:val="both"/>
      </w:pPr>
      <w:r>
        <w:t>The Interpretative Note to Recommendation 19 specifies examples of the countermeasures that could be undertaken by countries.</w:t>
      </w:r>
    </w:p>
    <w:p w:rsidR="00DC7055" w:rsidRPr="00DC7055" w:rsidRDefault="00DC7055" w:rsidP="00C454F6">
      <w:pPr>
        <w:pStyle w:val="Heading2"/>
        <w:jc w:val="both"/>
        <w:rPr>
          <w:rFonts w:ascii="Times New Roman" w:hAnsi="Times New Roman"/>
          <w:bCs w:val="0"/>
          <w:i w:val="0"/>
          <w:iCs w:val="0"/>
          <w:u w:val="single"/>
        </w:rPr>
      </w:pPr>
      <w:r w:rsidRPr="00DC7055">
        <w:rPr>
          <w:rFonts w:ascii="Times New Roman" w:hAnsi="Times New Roman"/>
          <w:bCs w:val="0"/>
          <w:i w:val="0"/>
          <w:iCs w:val="0"/>
          <w:u w:val="single"/>
        </w:rPr>
        <w:t>Jurisdiction subject to a FATF call on its members and other jurisdictions to apply enhanced due diligence measures proportionate to the risks arising from the jurisdiction</w:t>
      </w:r>
    </w:p>
    <w:p w:rsidR="00DC7055" w:rsidRPr="00DC7055" w:rsidRDefault="00DC7055" w:rsidP="00C454F6">
      <w:pPr>
        <w:pStyle w:val="Heading3"/>
        <w:jc w:val="both"/>
        <w:rPr>
          <w:rFonts w:ascii="Times New Roman" w:hAnsi="Times New Roman"/>
          <w:bCs w:val="0"/>
          <w:sz w:val="24"/>
          <w:szCs w:val="24"/>
        </w:rPr>
      </w:pPr>
      <w:r w:rsidRPr="00DC7055">
        <w:rPr>
          <w:rFonts w:ascii="Times New Roman" w:hAnsi="Times New Roman"/>
          <w:bCs w:val="0"/>
          <w:sz w:val="24"/>
          <w:szCs w:val="24"/>
        </w:rPr>
        <w:t>MYANMAR</w:t>
      </w:r>
    </w:p>
    <w:p w:rsidR="00DC7055" w:rsidRDefault="00DC7055" w:rsidP="00C454F6">
      <w:pPr>
        <w:pStyle w:val="NormalWeb"/>
        <w:jc w:val="both"/>
      </w:pPr>
      <w:r>
        <w:t>In February 2020, Myanmar committed to address its strategic deficiencies. Myanmar’s action plan expired in September 2021.</w:t>
      </w:r>
    </w:p>
    <w:p w:rsidR="00DC7055" w:rsidRDefault="00DC7055" w:rsidP="00C454F6">
      <w:pPr>
        <w:pStyle w:val="NormalWeb"/>
        <w:jc w:val="both"/>
      </w:pPr>
      <w:r>
        <w:t>In October 2022, given the continued lack of progress and the majority of its action items still not addressed after a year beyond the action plan deadline, the FATF decided that further action was necessary in line with its procedures and FATF calls on its members and other jurisdictions to apply enhanced due diligence measures proportionate to the risk arising from Myanmar. The FATF requires that as part of enhanced due diligence, financial institutions should increase the degree and nature of monitoring of the business relationship, in order to determine whether those transactions or activities appear unusual or suspicious. If no further progress is made by February 2025, the FATF will consider countermeasures.</w:t>
      </w:r>
    </w:p>
    <w:p w:rsidR="00DC7055" w:rsidRDefault="00DC7055" w:rsidP="00C454F6">
      <w:pPr>
        <w:pStyle w:val="NormalWeb"/>
        <w:jc w:val="both"/>
      </w:pPr>
      <w:r>
        <w:t>While overall progress continues to be slow, Myanmar has made recent progress against several items in its action plan. Myanmar should continue to work on implementing its action plan to address these deficiencies, including by: (1) demonstrating enhanced use of financial intelligence in law enforcement authorities (LEAs) investigations, and increasing operational analysis and disseminations by the financial intelligence unit (FIU); (2) ensuring that ML is investigated/prosecuted in line with risks; (3) demonstrating investigation of transnational ML cases with international cooperation; (4) demonstrating an increase in the freezing/seizing and confiscation of criminal proceeds, instrumentalities, and/or property of equivalent value; (5) managing seized assets to preserve the value of seized goods until confiscation; and (6) addressing technical compliance deficiencies related to R.7 to ensure effective implementation of targeted financial sanctions related to proliferation financing.</w:t>
      </w:r>
    </w:p>
    <w:p w:rsidR="00DC7055" w:rsidRDefault="00DC7055" w:rsidP="00C454F6">
      <w:pPr>
        <w:pStyle w:val="NormalWeb"/>
        <w:jc w:val="both"/>
      </w:pPr>
      <w:r>
        <w:t xml:space="preserve">When applying enhanced due diligence, countries should ensure that flows of funds for humanitarian assistance, legitimate NPO activity and remittances are neither disrupted nor </w:t>
      </w:r>
      <w:r>
        <w:lastRenderedPageBreak/>
        <w:t>discouraged. The FATF will also continue to monitor whether Myanmar’s AML/CFT activities apply undue scrutiny to legitimate financial flows.</w:t>
      </w:r>
    </w:p>
    <w:p w:rsidR="00DC7055" w:rsidRDefault="00DC7055" w:rsidP="00C454F6">
      <w:pPr>
        <w:pStyle w:val="NormalWeb"/>
        <w:jc w:val="both"/>
      </w:pPr>
      <w:r>
        <w:t>Myanmar will remain on the list of countries subject to a call for action until its full action plan is completed. </w:t>
      </w:r>
    </w:p>
    <w:p w:rsidR="00577D74" w:rsidRPr="00806D27" w:rsidRDefault="00577D74" w:rsidP="00C454F6">
      <w:pPr>
        <w:pStyle w:val="Heading5"/>
        <w:jc w:val="both"/>
        <w:rPr>
          <w:rFonts w:ascii="Times New Roman" w:hAnsi="Times New Roman"/>
          <w:sz w:val="20"/>
          <w:szCs w:val="20"/>
        </w:rPr>
      </w:pPr>
      <w:r w:rsidRPr="00806D27">
        <w:rPr>
          <w:rFonts w:ascii="Times New Roman" w:hAnsi="Times New Roman"/>
          <w:bCs w:val="0"/>
          <w:i w:val="0"/>
          <w:iCs w:val="0"/>
          <w:sz w:val="28"/>
          <w:szCs w:val="28"/>
          <w:u w:val="single"/>
        </w:rPr>
        <w:t>Jurisdictions under Increased Monitoring -</w:t>
      </w:r>
      <w:r w:rsidR="0038459C" w:rsidRPr="00806D27">
        <w:rPr>
          <w:rFonts w:ascii="Times New Roman" w:hAnsi="Times New Roman"/>
          <w:bCs w:val="0"/>
          <w:i w:val="0"/>
          <w:iCs w:val="0"/>
          <w:sz w:val="28"/>
          <w:szCs w:val="28"/>
          <w:u w:val="single"/>
        </w:rPr>
        <w:t>"grey list"</w:t>
      </w:r>
      <w:r w:rsidRPr="00806D27">
        <w:rPr>
          <w:rFonts w:ascii="Times New Roman" w:hAnsi="Times New Roman"/>
          <w:bCs w:val="0"/>
          <w:i w:val="0"/>
          <w:iCs w:val="0"/>
          <w:sz w:val="28"/>
          <w:szCs w:val="28"/>
          <w:u w:val="single"/>
        </w:rPr>
        <w:t xml:space="preserve"> </w:t>
      </w:r>
      <w:r w:rsidR="0038459C" w:rsidRPr="00806D27">
        <w:rPr>
          <w:rFonts w:ascii="Times New Roman" w:hAnsi="Times New Roman"/>
          <w:bCs w:val="0"/>
          <w:i w:val="0"/>
          <w:iCs w:val="0"/>
          <w:sz w:val="28"/>
          <w:szCs w:val="28"/>
          <w:u w:val="single"/>
        </w:rPr>
        <w:t>(</w:t>
      </w:r>
      <w:r w:rsidR="00723231" w:rsidRPr="000D74D0">
        <w:rPr>
          <w:rFonts w:ascii="Times New Roman" w:hAnsi="Times New Roman"/>
          <w:bCs w:val="0"/>
          <w:i w:val="0"/>
          <w:iCs w:val="0"/>
          <w:sz w:val="28"/>
          <w:szCs w:val="28"/>
          <w:u w:val="single"/>
        </w:rPr>
        <w:t>21</w:t>
      </w:r>
      <w:r w:rsidRPr="000D74D0">
        <w:rPr>
          <w:rFonts w:ascii="Times New Roman" w:hAnsi="Times New Roman"/>
          <w:bCs w:val="0"/>
          <w:i w:val="0"/>
          <w:iCs w:val="0"/>
          <w:sz w:val="28"/>
          <w:szCs w:val="28"/>
          <w:u w:val="single"/>
        </w:rPr>
        <w:t xml:space="preserve"> </w:t>
      </w:r>
      <w:r w:rsidR="00723231" w:rsidRPr="000D74D0">
        <w:rPr>
          <w:rFonts w:ascii="Times New Roman" w:hAnsi="Times New Roman"/>
          <w:bCs w:val="0"/>
          <w:i w:val="0"/>
          <w:iCs w:val="0"/>
          <w:sz w:val="28"/>
          <w:szCs w:val="28"/>
          <w:u w:val="single"/>
        </w:rPr>
        <w:t>February 2025</w:t>
      </w:r>
      <w:r w:rsidR="0038459C" w:rsidRPr="000D74D0">
        <w:rPr>
          <w:rFonts w:ascii="Times New Roman" w:hAnsi="Times New Roman"/>
          <w:bCs w:val="0"/>
          <w:i w:val="0"/>
          <w:iCs w:val="0"/>
          <w:sz w:val="28"/>
          <w:szCs w:val="28"/>
          <w:u w:val="single"/>
        </w:rPr>
        <w:t xml:space="preserve">) </w:t>
      </w:r>
      <w:r w:rsidR="00960359" w:rsidRPr="000D74D0">
        <w:rPr>
          <w:rFonts w:ascii="Times New Roman" w:hAnsi="Times New Roman"/>
          <w:bCs w:val="0"/>
          <w:i w:val="0"/>
          <w:iCs w:val="0"/>
          <w:sz w:val="28"/>
          <w:szCs w:val="28"/>
          <w:u w:val="single"/>
        </w:rPr>
        <w:t>(</w:t>
      </w:r>
      <w:hyperlink r:id="rId10" w:history="1">
        <w:r w:rsidR="00723231" w:rsidRPr="000D74D0">
          <w:rPr>
            <w:rStyle w:val="Hyperlink"/>
            <w:rFonts w:ascii="Times New Roman" w:hAnsi="Times New Roman"/>
            <w:sz w:val="24"/>
            <w:szCs w:val="24"/>
            <w:lang w:val="sr"/>
          </w:rPr>
          <w:t>https://www.fatf-gafi.org/en/publications/High-risk-and-other-monitored-jurisdictions/increased-monitoring-february-2025.html</w:t>
        </w:r>
      </w:hyperlink>
      <w:r w:rsidR="00960359" w:rsidRPr="00806D27">
        <w:rPr>
          <w:rFonts w:ascii="Times New Roman" w:hAnsi="Times New Roman"/>
          <w:bCs w:val="0"/>
          <w:sz w:val="28"/>
          <w:szCs w:val="28"/>
          <w:u w:val="single"/>
        </w:rPr>
        <w:t>)</w:t>
      </w:r>
    </w:p>
    <w:p w:rsidR="00577D74" w:rsidRDefault="00577D74" w:rsidP="00C454F6">
      <w:pPr>
        <w:pStyle w:val="NormalWeb"/>
        <w:jc w:val="both"/>
      </w:pPr>
      <w:r>
        <w:t>Jurisdictions under increased monitoring are actively working with the FATF to address strategic deficiencies in their regimes to counter money laundering, terrorist financing, and proliferation financing. When the FATF places a jurisdiction under increased monitoring, it means the country has committed to resolve swiftly the identified strategic deficiencies within agreed timeframes and is subject to increased monitoring. This list is often externally referred to as the “grey list”.</w:t>
      </w:r>
    </w:p>
    <w:p w:rsidR="00577D74" w:rsidRDefault="00577D74" w:rsidP="00C454F6">
      <w:pPr>
        <w:pStyle w:val="NormalWeb"/>
        <w:jc w:val="both"/>
      </w:pPr>
      <w:r>
        <w:t xml:space="preserve">The FATF and FATF-style regional bodies (FSRBs) continue to work with the jurisdictions below as they report on the progress achieved in addressing their strategic deficiencies. The FATF calls on these jurisdictions to complete their action plans expeditiously and within the agreed timeframes. The FATF welcomes their commitment and will closely monitor their progress. The FATF does not call for the application of enhanced due diligence measures to be applied to these jurisdictions. The FATF Standards do not envisage de-risking, or cutting-off entire classes of customers, but call for the application of a risk-based approach. Therefore, the FATF encourages its members and all jurisdictions to take into account the information presented below in their risk analysis. As countries consider actions based on their risk analysis taking into account the information below, they should ensure that flows of funds for humanitarian assistance, legitimate NPO activity and remittances are neither disrupted nor discouraged. Countries should also consider their international obligations under </w:t>
      </w:r>
      <w:r w:rsidRPr="000D74D0">
        <w:t xml:space="preserve">United Nations Security Council Resolution </w:t>
      </w:r>
      <w:r w:rsidR="00723231" w:rsidRPr="000D74D0">
        <w:t>2761 (2024</w:t>
      </w:r>
      <w:r w:rsidRPr="000D74D0">
        <w:t>)</w:t>
      </w:r>
      <w:r>
        <w:t xml:space="preserve"> on humanitarian exemptions to asset freeze measures imposed by UN sanctions regimes.</w:t>
      </w:r>
    </w:p>
    <w:p w:rsidR="00577D74" w:rsidRDefault="00577D74" w:rsidP="00C454F6">
      <w:pPr>
        <w:pStyle w:val="NormalWeb"/>
        <w:jc w:val="both"/>
      </w:pPr>
      <w:r>
        <w:t>The FATF identifies additional jurisdictions, on an on-going basis, that have strategic deficiencies in their regimes to counter money laundering, terrorist financing, and proliferation financing. A number of jurisdictions have not yet been reviewed by the FATF or their FSRBs, but will be in due course.</w:t>
      </w:r>
    </w:p>
    <w:p w:rsidR="00577D74" w:rsidRDefault="00577D74" w:rsidP="00C454F6">
      <w:pPr>
        <w:pStyle w:val="NormalWeb"/>
        <w:jc w:val="both"/>
      </w:pPr>
      <w:r>
        <w:t xml:space="preserve">The FATF provides some flexibility to jurisdictions not facing immediate deadlines to report progress on a voluntary basis. The following countries had their progress reviewed by the FATF </w:t>
      </w:r>
      <w:r w:rsidRPr="000D74D0">
        <w:t xml:space="preserve">since </w:t>
      </w:r>
      <w:r w:rsidR="00723231" w:rsidRPr="000D74D0">
        <w:t>October</w:t>
      </w:r>
      <w:r w:rsidRPr="000D74D0">
        <w:t xml:space="preserve"> 2024: </w:t>
      </w:r>
      <w:r w:rsidR="00723231" w:rsidRPr="000D74D0">
        <w:t>Bulgaria; Burkina Faso, Cameroon, Croatia, Democratic Republic of Congo, Kenya, Mali, Mozambique, Namibia; Nigeria, Philippines, South Africa, South Sudan, Tanzania, Venezuela, and Vietnam</w:t>
      </w:r>
      <w:r w:rsidRPr="000D74D0">
        <w:t>. For these co</w:t>
      </w:r>
      <w:r w:rsidR="00723231" w:rsidRPr="000D74D0">
        <w:t xml:space="preserve">untries, updated statements are </w:t>
      </w:r>
      <w:r w:rsidRPr="000D74D0">
        <w:t>provided below</w:t>
      </w:r>
      <w:r w:rsidR="00723231" w:rsidRPr="000D74D0">
        <w:rPr>
          <w:rStyle w:val="FootnoteReference"/>
        </w:rPr>
        <w:footnoteReference w:id="1"/>
      </w:r>
      <w:r w:rsidRPr="000D74D0">
        <w:t xml:space="preserve">. </w:t>
      </w:r>
      <w:bookmarkStart w:id="0" w:name="_Hlk170284801"/>
      <w:bookmarkEnd w:id="0"/>
      <w:r w:rsidR="00723231" w:rsidRPr="000D74D0">
        <w:t>Algeria, Angola, Côte d’Ivoire, Haiti, Lebanon, Monaco, Syria and Yemen</w:t>
      </w:r>
      <w:r w:rsidRPr="000D74D0">
        <w:t xml:space="preserve"> c</w:t>
      </w:r>
      <w:r>
        <w:t xml:space="preserve">hose to defer reporting; thus, the statements issued previously for those jurisdictions are included below, but it may not </w:t>
      </w:r>
      <w:r>
        <w:lastRenderedPageBreak/>
        <w:t xml:space="preserve">necessarily reflect the most recent status of the jurisdictions’ AML/CFT regimes. Following review, the FATF now also identifies </w:t>
      </w:r>
      <w:r w:rsidR="00723231" w:rsidRPr="000D74D0">
        <w:t>Lao PDR and Nepal</w:t>
      </w:r>
      <w:r w:rsidRPr="000D74D0">
        <w:t>.</w:t>
      </w:r>
    </w:p>
    <w:p w:rsidR="00FF2414" w:rsidRDefault="00FF2414" w:rsidP="00C454F6">
      <w:pPr>
        <w:spacing w:before="100" w:beforeAutospacing="1" w:after="100" w:afterAutospacing="1" w:line="240" w:lineRule="auto"/>
        <w:jc w:val="both"/>
        <w:outlineLvl w:val="2"/>
        <w:rPr>
          <w:rFonts w:ascii="Times New Roman" w:eastAsia="Times New Roman" w:hAnsi="Times New Roman"/>
          <w:b/>
          <w:bCs/>
          <w:sz w:val="27"/>
          <w:szCs w:val="27"/>
        </w:rPr>
      </w:pPr>
      <w:r w:rsidRPr="00FF2414">
        <w:rPr>
          <w:rFonts w:ascii="Times New Roman" w:eastAsia="Times New Roman" w:hAnsi="Times New Roman"/>
          <w:b/>
          <w:bCs/>
          <w:sz w:val="27"/>
          <w:szCs w:val="27"/>
        </w:rPr>
        <w:t>Jurisdictions under Increased Monitoring</w:t>
      </w:r>
      <w:r w:rsidR="00960359">
        <w:rPr>
          <w:rFonts w:ascii="Times New Roman" w:eastAsia="Times New Roman" w:hAnsi="Times New Roman"/>
          <w:b/>
          <w:bCs/>
          <w:sz w:val="27"/>
          <w:szCs w:val="27"/>
        </w:rPr>
        <w:t>:</w:t>
      </w:r>
    </w:p>
    <w:p w:rsidR="0038459C" w:rsidRPr="00FF2414" w:rsidRDefault="0038459C" w:rsidP="00FF2414">
      <w:pPr>
        <w:pStyle w:val="NoSpacing"/>
        <w:numPr>
          <w:ilvl w:val="0"/>
          <w:numId w:val="2"/>
        </w:numPr>
        <w:rPr>
          <w:rFonts w:ascii="Times New Roman" w:eastAsia="Times New Roman" w:hAnsi="Times New Roman"/>
          <w:sz w:val="24"/>
          <w:szCs w:val="24"/>
        </w:rPr>
      </w:pPr>
      <w:r w:rsidRPr="00FF2414">
        <w:rPr>
          <w:rFonts w:ascii="Times New Roman" w:eastAsia="Times New Roman" w:hAnsi="Times New Roman"/>
          <w:sz w:val="24"/>
          <w:szCs w:val="24"/>
        </w:rPr>
        <w:t>Algeria</w:t>
      </w:r>
    </w:p>
    <w:p w:rsidR="00FF2414" w:rsidRPr="00FF2414" w:rsidRDefault="0038459C" w:rsidP="00FF2414">
      <w:pPr>
        <w:pStyle w:val="NoSpacing"/>
        <w:numPr>
          <w:ilvl w:val="0"/>
          <w:numId w:val="2"/>
        </w:numPr>
        <w:rPr>
          <w:rFonts w:ascii="Times New Roman" w:eastAsia="Times New Roman" w:hAnsi="Times New Roman"/>
          <w:sz w:val="24"/>
          <w:szCs w:val="24"/>
        </w:rPr>
      </w:pPr>
      <w:r w:rsidRPr="00FF2414">
        <w:rPr>
          <w:rFonts w:ascii="Times New Roman" w:eastAsia="Times New Roman" w:hAnsi="Times New Roman"/>
          <w:sz w:val="24"/>
          <w:szCs w:val="24"/>
        </w:rPr>
        <w:t>Angola</w:t>
      </w:r>
    </w:p>
    <w:p w:rsidR="0038459C" w:rsidRPr="00FF2414" w:rsidRDefault="0038459C" w:rsidP="00FF2414">
      <w:pPr>
        <w:pStyle w:val="NoSpacing"/>
        <w:numPr>
          <w:ilvl w:val="0"/>
          <w:numId w:val="2"/>
        </w:numPr>
        <w:rPr>
          <w:rFonts w:ascii="Times New Roman" w:eastAsia="Times New Roman" w:hAnsi="Times New Roman"/>
          <w:sz w:val="24"/>
          <w:szCs w:val="24"/>
        </w:rPr>
      </w:pPr>
      <w:r w:rsidRPr="00FF2414">
        <w:rPr>
          <w:rFonts w:ascii="Times New Roman" w:eastAsia="Times New Roman" w:hAnsi="Times New Roman"/>
          <w:sz w:val="24"/>
          <w:szCs w:val="24"/>
        </w:rPr>
        <w:t>Bulgaria</w:t>
      </w:r>
    </w:p>
    <w:p w:rsidR="0038459C" w:rsidRPr="00FF2414" w:rsidRDefault="0038459C" w:rsidP="00FF2414">
      <w:pPr>
        <w:pStyle w:val="NoSpacing"/>
        <w:numPr>
          <w:ilvl w:val="0"/>
          <w:numId w:val="2"/>
        </w:numPr>
        <w:rPr>
          <w:rFonts w:ascii="Times New Roman" w:eastAsia="Times New Roman" w:hAnsi="Times New Roman"/>
          <w:sz w:val="24"/>
          <w:szCs w:val="24"/>
        </w:rPr>
      </w:pPr>
      <w:r w:rsidRPr="00FF2414">
        <w:rPr>
          <w:rFonts w:ascii="Times New Roman" w:eastAsia="Times New Roman" w:hAnsi="Times New Roman"/>
          <w:sz w:val="24"/>
          <w:szCs w:val="24"/>
        </w:rPr>
        <w:t>Burkina Faso</w:t>
      </w:r>
    </w:p>
    <w:p w:rsidR="0038459C" w:rsidRPr="00FF2414" w:rsidRDefault="0038459C" w:rsidP="00FF2414">
      <w:pPr>
        <w:pStyle w:val="NoSpacing"/>
        <w:numPr>
          <w:ilvl w:val="0"/>
          <w:numId w:val="2"/>
        </w:numPr>
        <w:rPr>
          <w:rFonts w:ascii="Times New Roman" w:eastAsia="Times New Roman" w:hAnsi="Times New Roman"/>
          <w:sz w:val="24"/>
          <w:szCs w:val="24"/>
        </w:rPr>
      </w:pPr>
      <w:r w:rsidRPr="00FF2414">
        <w:rPr>
          <w:rFonts w:ascii="Times New Roman" w:eastAsia="Times New Roman" w:hAnsi="Times New Roman"/>
          <w:sz w:val="24"/>
          <w:szCs w:val="24"/>
        </w:rPr>
        <w:t>Cameroon</w:t>
      </w:r>
    </w:p>
    <w:p w:rsidR="0038459C" w:rsidRPr="00FF2414" w:rsidRDefault="00FF2414" w:rsidP="00FF2414">
      <w:pPr>
        <w:pStyle w:val="NoSpacing"/>
        <w:numPr>
          <w:ilvl w:val="0"/>
          <w:numId w:val="2"/>
        </w:numPr>
        <w:rPr>
          <w:rFonts w:ascii="Times New Roman" w:eastAsia="Times New Roman" w:hAnsi="Times New Roman"/>
          <w:sz w:val="24"/>
          <w:szCs w:val="24"/>
        </w:rPr>
      </w:pPr>
      <w:r w:rsidRPr="00FF2414">
        <w:rPr>
          <w:rFonts w:ascii="Times New Roman" w:eastAsia="Times New Roman" w:hAnsi="Times New Roman"/>
          <w:sz w:val="24"/>
          <w:szCs w:val="24"/>
        </w:rPr>
        <w:t>C</w:t>
      </w:r>
      <w:r>
        <w:rPr>
          <w:rFonts w:ascii="Times New Roman" w:eastAsia="Times New Roman" w:hAnsi="Times New Roman"/>
          <w:sz w:val="24"/>
          <w:szCs w:val="24"/>
        </w:rPr>
        <w:t>ôte d'I</w:t>
      </w:r>
      <w:r w:rsidR="0038459C" w:rsidRPr="00FF2414">
        <w:rPr>
          <w:rFonts w:ascii="Times New Roman" w:eastAsia="Times New Roman" w:hAnsi="Times New Roman"/>
          <w:sz w:val="24"/>
          <w:szCs w:val="24"/>
        </w:rPr>
        <w:t>voire</w:t>
      </w:r>
    </w:p>
    <w:p w:rsidR="00C454F6" w:rsidRPr="00FF2414" w:rsidRDefault="00C454F6" w:rsidP="00FF2414">
      <w:pPr>
        <w:pStyle w:val="NoSpacing"/>
        <w:numPr>
          <w:ilvl w:val="0"/>
          <w:numId w:val="2"/>
        </w:numPr>
        <w:rPr>
          <w:rFonts w:ascii="Times New Roman" w:eastAsia="Times New Roman" w:hAnsi="Times New Roman"/>
          <w:sz w:val="24"/>
          <w:szCs w:val="24"/>
        </w:rPr>
      </w:pPr>
      <w:r w:rsidRPr="00FF2414">
        <w:rPr>
          <w:rFonts w:ascii="Times New Roman" w:eastAsia="Times New Roman" w:hAnsi="Times New Roman"/>
          <w:sz w:val="24"/>
          <w:szCs w:val="24"/>
        </w:rPr>
        <w:t>Croatia</w:t>
      </w:r>
    </w:p>
    <w:p w:rsidR="00577D74" w:rsidRPr="00FF2414" w:rsidRDefault="00C454F6" w:rsidP="00FF2414">
      <w:pPr>
        <w:pStyle w:val="NoSpacing"/>
        <w:numPr>
          <w:ilvl w:val="0"/>
          <w:numId w:val="2"/>
        </w:numPr>
        <w:rPr>
          <w:rFonts w:ascii="Times New Roman" w:eastAsia="Times New Roman" w:hAnsi="Times New Roman"/>
          <w:sz w:val="24"/>
          <w:szCs w:val="24"/>
        </w:rPr>
      </w:pPr>
      <w:r w:rsidRPr="00FF2414">
        <w:rPr>
          <w:rFonts w:ascii="Times New Roman" w:eastAsia="Times New Roman" w:hAnsi="Times New Roman"/>
          <w:sz w:val="24"/>
          <w:szCs w:val="24"/>
        </w:rPr>
        <w:t>D</w:t>
      </w:r>
      <w:r w:rsidR="00FF2414" w:rsidRPr="00FF2414">
        <w:rPr>
          <w:rFonts w:ascii="Times New Roman" w:eastAsia="Times New Roman" w:hAnsi="Times New Roman"/>
          <w:sz w:val="24"/>
          <w:szCs w:val="24"/>
        </w:rPr>
        <w:t>emocratic</w:t>
      </w:r>
      <w:r w:rsidRPr="00FF2414">
        <w:rPr>
          <w:rFonts w:ascii="Times New Roman" w:eastAsia="Times New Roman" w:hAnsi="Times New Roman"/>
          <w:sz w:val="24"/>
          <w:szCs w:val="24"/>
        </w:rPr>
        <w:t xml:space="preserve"> R</w:t>
      </w:r>
      <w:r w:rsidR="00FF2414" w:rsidRPr="00FF2414">
        <w:rPr>
          <w:rFonts w:ascii="Times New Roman" w:eastAsia="Times New Roman" w:hAnsi="Times New Roman"/>
          <w:sz w:val="24"/>
          <w:szCs w:val="24"/>
        </w:rPr>
        <w:t>epublic</w:t>
      </w:r>
      <w:r w:rsidR="00FF2414">
        <w:rPr>
          <w:rFonts w:ascii="Times New Roman" w:eastAsia="Times New Roman" w:hAnsi="Times New Roman"/>
          <w:sz w:val="24"/>
          <w:szCs w:val="24"/>
        </w:rPr>
        <w:t xml:space="preserve"> of</w:t>
      </w:r>
      <w:r w:rsidR="00FF2414" w:rsidRPr="00FF2414">
        <w:rPr>
          <w:rFonts w:ascii="Times New Roman" w:eastAsia="Times New Roman" w:hAnsi="Times New Roman"/>
          <w:sz w:val="24"/>
          <w:szCs w:val="24"/>
        </w:rPr>
        <w:t xml:space="preserve"> the </w:t>
      </w:r>
      <w:r w:rsidRPr="00FF2414">
        <w:rPr>
          <w:rFonts w:ascii="Times New Roman" w:eastAsia="Times New Roman" w:hAnsi="Times New Roman"/>
          <w:sz w:val="24"/>
          <w:szCs w:val="24"/>
        </w:rPr>
        <w:t>C</w:t>
      </w:r>
      <w:r w:rsidR="00FF2414" w:rsidRPr="00FF2414">
        <w:rPr>
          <w:rFonts w:ascii="Times New Roman" w:eastAsia="Times New Roman" w:hAnsi="Times New Roman"/>
          <w:sz w:val="24"/>
          <w:szCs w:val="24"/>
        </w:rPr>
        <w:t>ongo</w:t>
      </w:r>
    </w:p>
    <w:p w:rsidR="00B30E55" w:rsidRPr="00FF2414" w:rsidRDefault="00C454F6" w:rsidP="00FF2414">
      <w:pPr>
        <w:pStyle w:val="NoSpacing"/>
        <w:numPr>
          <w:ilvl w:val="0"/>
          <w:numId w:val="2"/>
        </w:numPr>
        <w:rPr>
          <w:rFonts w:ascii="Times New Roman" w:eastAsia="Times New Roman" w:hAnsi="Times New Roman"/>
          <w:sz w:val="24"/>
          <w:szCs w:val="24"/>
        </w:rPr>
      </w:pPr>
      <w:r w:rsidRPr="00FF2414">
        <w:rPr>
          <w:rFonts w:ascii="Times New Roman" w:eastAsia="Times New Roman" w:hAnsi="Times New Roman"/>
          <w:sz w:val="24"/>
          <w:szCs w:val="24"/>
        </w:rPr>
        <w:t>Haiti</w:t>
      </w:r>
    </w:p>
    <w:p w:rsidR="00C454F6" w:rsidRPr="00FF2414" w:rsidRDefault="00C454F6" w:rsidP="00FF2414">
      <w:pPr>
        <w:pStyle w:val="NoSpacing"/>
        <w:numPr>
          <w:ilvl w:val="0"/>
          <w:numId w:val="2"/>
        </w:numPr>
        <w:rPr>
          <w:rFonts w:ascii="Times New Roman" w:eastAsia="Times New Roman" w:hAnsi="Times New Roman"/>
          <w:sz w:val="24"/>
          <w:szCs w:val="24"/>
        </w:rPr>
      </w:pPr>
      <w:r w:rsidRPr="00FF2414">
        <w:rPr>
          <w:rFonts w:ascii="Times New Roman" w:eastAsia="Times New Roman" w:hAnsi="Times New Roman"/>
          <w:sz w:val="24"/>
          <w:szCs w:val="24"/>
        </w:rPr>
        <w:t>Kenya</w:t>
      </w:r>
    </w:p>
    <w:p w:rsidR="00E87D3E" w:rsidRPr="000D74D0" w:rsidRDefault="00E87D3E" w:rsidP="00E87D3E">
      <w:pPr>
        <w:pStyle w:val="NoSpacing"/>
        <w:numPr>
          <w:ilvl w:val="0"/>
          <w:numId w:val="2"/>
        </w:numPr>
        <w:rPr>
          <w:rFonts w:ascii="Times New Roman" w:eastAsia="Times New Roman" w:hAnsi="Times New Roman"/>
          <w:sz w:val="24"/>
          <w:szCs w:val="24"/>
        </w:rPr>
      </w:pPr>
      <w:r w:rsidRPr="000D74D0">
        <w:rPr>
          <w:rFonts w:ascii="Times New Roman" w:eastAsia="Times New Roman" w:hAnsi="Times New Roman"/>
          <w:sz w:val="24"/>
          <w:szCs w:val="24"/>
        </w:rPr>
        <w:t xml:space="preserve">Lao PDR </w:t>
      </w:r>
    </w:p>
    <w:p w:rsidR="00E87D3E" w:rsidRPr="00E87D3E" w:rsidRDefault="00E87D3E" w:rsidP="00E87D3E">
      <w:pPr>
        <w:pStyle w:val="NoSpacing"/>
        <w:numPr>
          <w:ilvl w:val="0"/>
          <w:numId w:val="2"/>
        </w:numPr>
        <w:rPr>
          <w:rFonts w:ascii="Times New Roman" w:eastAsia="Times New Roman" w:hAnsi="Times New Roman"/>
          <w:sz w:val="24"/>
          <w:szCs w:val="24"/>
        </w:rPr>
      </w:pPr>
      <w:r w:rsidRPr="00E87D3E">
        <w:rPr>
          <w:rFonts w:ascii="Times New Roman" w:eastAsia="Times New Roman" w:hAnsi="Times New Roman"/>
          <w:sz w:val="24"/>
          <w:szCs w:val="24"/>
        </w:rPr>
        <w:t>Lebanon</w:t>
      </w:r>
    </w:p>
    <w:p w:rsidR="00C454F6" w:rsidRPr="00FF2414" w:rsidRDefault="00C454F6" w:rsidP="00E87D3E">
      <w:pPr>
        <w:pStyle w:val="NoSpacing"/>
        <w:numPr>
          <w:ilvl w:val="0"/>
          <w:numId w:val="2"/>
        </w:numPr>
        <w:rPr>
          <w:rFonts w:ascii="Times New Roman" w:eastAsia="Times New Roman" w:hAnsi="Times New Roman"/>
          <w:sz w:val="24"/>
          <w:szCs w:val="24"/>
        </w:rPr>
      </w:pPr>
      <w:r w:rsidRPr="00FF2414">
        <w:rPr>
          <w:rFonts w:ascii="Times New Roman" w:eastAsia="Times New Roman" w:hAnsi="Times New Roman"/>
          <w:sz w:val="24"/>
          <w:szCs w:val="24"/>
        </w:rPr>
        <w:t>Mali</w:t>
      </w:r>
    </w:p>
    <w:p w:rsidR="00C454F6" w:rsidRPr="00FF2414" w:rsidRDefault="00C454F6" w:rsidP="00FF2414">
      <w:pPr>
        <w:pStyle w:val="NoSpacing"/>
        <w:numPr>
          <w:ilvl w:val="0"/>
          <w:numId w:val="2"/>
        </w:numPr>
        <w:rPr>
          <w:rFonts w:ascii="Times New Roman" w:eastAsia="Times New Roman" w:hAnsi="Times New Roman"/>
          <w:sz w:val="24"/>
          <w:szCs w:val="24"/>
        </w:rPr>
      </w:pPr>
      <w:r w:rsidRPr="00FF2414">
        <w:rPr>
          <w:rFonts w:ascii="Times New Roman" w:eastAsia="Times New Roman" w:hAnsi="Times New Roman"/>
          <w:sz w:val="24"/>
          <w:szCs w:val="24"/>
        </w:rPr>
        <w:t>Monaco</w:t>
      </w:r>
    </w:p>
    <w:p w:rsidR="00C454F6" w:rsidRPr="00FF2414" w:rsidRDefault="00C454F6" w:rsidP="00FF2414">
      <w:pPr>
        <w:pStyle w:val="NoSpacing"/>
        <w:numPr>
          <w:ilvl w:val="0"/>
          <w:numId w:val="2"/>
        </w:numPr>
        <w:rPr>
          <w:rFonts w:ascii="Times New Roman" w:eastAsia="Times New Roman" w:hAnsi="Times New Roman"/>
          <w:sz w:val="24"/>
          <w:szCs w:val="24"/>
        </w:rPr>
      </w:pPr>
      <w:r w:rsidRPr="00FF2414">
        <w:rPr>
          <w:rFonts w:ascii="Times New Roman" w:eastAsia="Times New Roman" w:hAnsi="Times New Roman"/>
          <w:sz w:val="24"/>
          <w:szCs w:val="24"/>
        </w:rPr>
        <w:t>Mozambique</w:t>
      </w:r>
    </w:p>
    <w:p w:rsidR="00C454F6" w:rsidRDefault="00C454F6" w:rsidP="00FF2414">
      <w:pPr>
        <w:pStyle w:val="NoSpacing"/>
        <w:numPr>
          <w:ilvl w:val="0"/>
          <w:numId w:val="2"/>
        </w:numPr>
        <w:rPr>
          <w:rFonts w:ascii="Times New Roman" w:eastAsia="Times New Roman" w:hAnsi="Times New Roman"/>
          <w:sz w:val="24"/>
          <w:szCs w:val="24"/>
        </w:rPr>
      </w:pPr>
      <w:r w:rsidRPr="00FF2414">
        <w:rPr>
          <w:rFonts w:ascii="Times New Roman" w:eastAsia="Times New Roman" w:hAnsi="Times New Roman"/>
          <w:sz w:val="24"/>
          <w:szCs w:val="24"/>
        </w:rPr>
        <w:t>Namibia</w:t>
      </w:r>
    </w:p>
    <w:p w:rsidR="00E87D3E" w:rsidRPr="000D74D0" w:rsidRDefault="00E87D3E" w:rsidP="00FF2414">
      <w:pPr>
        <w:pStyle w:val="NoSpacing"/>
        <w:numPr>
          <w:ilvl w:val="0"/>
          <w:numId w:val="2"/>
        </w:numPr>
        <w:rPr>
          <w:rFonts w:ascii="Times New Roman" w:eastAsia="Times New Roman" w:hAnsi="Times New Roman"/>
          <w:sz w:val="24"/>
          <w:szCs w:val="24"/>
        </w:rPr>
      </w:pPr>
      <w:r w:rsidRPr="000D74D0">
        <w:rPr>
          <w:rFonts w:ascii="Times New Roman" w:eastAsia="Times New Roman" w:hAnsi="Times New Roman"/>
          <w:sz w:val="24"/>
          <w:szCs w:val="24"/>
        </w:rPr>
        <w:t>Nepal</w:t>
      </w:r>
    </w:p>
    <w:p w:rsidR="00C454F6" w:rsidRPr="00FF2414" w:rsidRDefault="00C454F6" w:rsidP="00FF2414">
      <w:pPr>
        <w:pStyle w:val="NoSpacing"/>
        <w:numPr>
          <w:ilvl w:val="0"/>
          <w:numId w:val="2"/>
        </w:numPr>
        <w:rPr>
          <w:rFonts w:ascii="Times New Roman" w:eastAsia="Times New Roman" w:hAnsi="Times New Roman"/>
          <w:sz w:val="24"/>
          <w:szCs w:val="24"/>
        </w:rPr>
      </w:pPr>
      <w:r w:rsidRPr="00FF2414">
        <w:rPr>
          <w:rFonts w:ascii="Times New Roman" w:eastAsia="Times New Roman" w:hAnsi="Times New Roman"/>
          <w:sz w:val="24"/>
          <w:szCs w:val="24"/>
        </w:rPr>
        <w:t>Nigeria</w:t>
      </w:r>
    </w:p>
    <w:p w:rsidR="00C454F6" w:rsidRPr="00FF2414" w:rsidRDefault="00C454F6" w:rsidP="00FF2414">
      <w:pPr>
        <w:pStyle w:val="NoSpacing"/>
        <w:numPr>
          <w:ilvl w:val="0"/>
          <w:numId w:val="2"/>
        </w:numPr>
        <w:rPr>
          <w:rFonts w:ascii="Times New Roman" w:eastAsia="Times New Roman" w:hAnsi="Times New Roman"/>
          <w:sz w:val="24"/>
          <w:szCs w:val="24"/>
        </w:rPr>
      </w:pPr>
      <w:r w:rsidRPr="00FF2414">
        <w:rPr>
          <w:rFonts w:ascii="Times New Roman" w:eastAsia="Times New Roman" w:hAnsi="Times New Roman"/>
          <w:sz w:val="24"/>
          <w:szCs w:val="24"/>
        </w:rPr>
        <w:t>South Africa</w:t>
      </w:r>
    </w:p>
    <w:p w:rsidR="00C454F6" w:rsidRPr="00FF2414" w:rsidRDefault="00C454F6" w:rsidP="00FF2414">
      <w:pPr>
        <w:pStyle w:val="NoSpacing"/>
        <w:numPr>
          <w:ilvl w:val="0"/>
          <w:numId w:val="2"/>
        </w:numPr>
        <w:rPr>
          <w:rFonts w:ascii="Times New Roman" w:eastAsia="Times New Roman" w:hAnsi="Times New Roman"/>
          <w:sz w:val="24"/>
          <w:szCs w:val="24"/>
        </w:rPr>
      </w:pPr>
      <w:r w:rsidRPr="00FF2414">
        <w:rPr>
          <w:rFonts w:ascii="Times New Roman" w:eastAsia="Times New Roman" w:hAnsi="Times New Roman"/>
          <w:sz w:val="24"/>
          <w:szCs w:val="24"/>
        </w:rPr>
        <w:t>South Sudan</w:t>
      </w:r>
    </w:p>
    <w:p w:rsidR="00C454F6" w:rsidRPr="00FF2414" w:rsidRDefault="00C454F6" w:rsidP="00FF2414">
      <w:pPr>
        <w:pStyle w:val="NoSpacing"/>
        <w:numPr>
          <w:ilvl w:val="0"/>
          <w:numId w:val="2"/>
        </w:numPr>
        <w:rPr>
          <w:rFonts w:ascii="Times New Roman" w:eastAsia="Times New Roman" w:hAnsi="Times New Roman"/>
          <w:sz w:val="24"/>
          <w:szCs w:val="24"/>
        </w:rPr>
      </w:pPr>
      <w:r w:rsidRPr="00FF2414">
        <w:rPr>
          <w:rFonts w:ascii="Times New Roman" w:eastAsia="Times New Roman" w:hAnsi="Times New Roman"/>
          <w:sz w:val="24"/>
          <w:szCs w:val="24"/>
        </w:rPr>
        <w:t>Syria</w:t>
      </w:r>
    </w:p>
    <w:p w:rsidR="00FF2414" w:rsidRPr="00FF2414" w:rsidRDefault="00FF2414" w:rsidP="00FF2414">
      <w:pPr>
        <w:pStyle w:val="NoSpacing"/>
        <w:numPr>
          <w:ilvl w:val="0"/>
          <w:numId w:val="2"/>
        </w:numPr>
        <w:rPr>
          <w:rFonts w:ascii="Times New Roman" w:eastAsia="Times New Roman" w:hAnsi="Times New Roman"/>
          <w:sz w:val="24"/>
          <w:szCs w:val="24"/>
        </w:rPr>
      </w:pPr>
      <w:r w:rsidRPr="00FF2414">
        <w:rPr>
          <w:rFonts w:ascii="Times New Roman" w:eastAsia="Times New Roman" w:hAnsi="Times New Roman"/>
          <w:sz w:val="24"/>
          <w:szCs w:val="24"/>
        </w:rPr>
        <w:t xml:space="preserve">Tanzania </w:t>
      </w:r>
    </w:p>
    <w:p w:rsidR="00FF2414" w:rsidRPr="00FF2414" w:rsidRDefault="00FF2414" w:rsidP="00FF2414">
      <w:pPr>
        <w:pStyle w:val="NoSpacing"/>
        <w:numPr>
          <w:ilvl w:val="0"/>
          <w:numId w:val="2"/>
        </w:numPr>
        <w:rPr>
          <w:rFonts w:ascii="Times New Roman" w:eastAsia="Times New Roman" w:hAnsi="Times New Roman"/>
          <w:sz w:val="24"/>
          <w:szCs w:val="24"/>
        </w:rPr>
      </w:pPr>
      <w:r w:rsidRPr="00FF2414">
        <w:rPr>
          <w:rFonts w:ascii="Times New Roman" w:eastAsia="Times New Roman" w:hAnsi="Times New Roman"/>
          <w:sz w:val="24"/>
          <w:szCs w:val="24"/>
        </w:rPr>
        <w:t xml:space="preserve">Venezuela </w:t>
      </w:r>
    </w:p>
    <w:p w:rsidR="00FF2414" w:rsidRPr="00FF2414" w:rsidRDefault="00FF2414" w:rsidP="00FF2414">
      <w:pPr>
        <w:pStyle w:val="NoSpacing"/>
        <w:numPr>
          <w:ilvl w:val="0"/>
          <w:numId w:val="2"/>
        </w:numPr>
        <w:rPr>
          <w:rFonts w:ascii="Times New Roman" w:eastAsia="Times New Roman" w:hAnsi="Times New Roman"/>
          <w:sz w:val="24"/>
          <w:szCs w:val="24"/>
        </w:rPr>
      </w:pPr>
      <w:r w:rsidRPr="00FF2414">
        <w:rPr>
          <w:rFonts w:ascii="Times New Roman" w:eastAsia="Times New Roman" w:hAnsi="Times New Roman"/>
          <w:sz w:val="24"/>
          <w:szCs w:val="24"/>
        </w:rPr>
        <w:t>Vietnam</w:t>
      </w:r>
    </w:p>
    <w:p w:rsidR="00FF2414" w:rsidRPr="00FF2414" w:rsidRDefault="00FF2414" w:rsidP="00FF2414">
      <w:pPr>
        <w:pStyle w:val="NoSpacing"/>
        <w:numPr>
          <w:ilvl w:val="0"/>
          <w:numId w:val="2"/>
        </w:numPr>
        <w:rPr>
          <w:rFonts w:ascii="Times New Roman" w:eastAsia="Times New Roman" w:hAnsi="Times New Roman"/>
          <w:sz w:val="24"/>
          <w:szCs w:val="24"/>
        </w:rPr>
      </w:pPr>
      <w:r w:rsidRPr="00FF2414">
        <w:rPr>
          <w:rFonts w:ascii="Times New Roman" w:eastAsia="Times New Roman" w:hAnsi="Times New Roman"/>
          <w:sz w:val="24"/>
          <w:szCs w:val="24"/>
        </w:rPr>
        <w:t>Yemen</w:t>
      </w:r>
    </w:p>
    <w:p w:rsidR="00FF2414" w:rsidRDefault="00FF2414" w:rsidP="00FF2414">
      <w:pPr>
        <w:pStyle w:val="NoSpacing"/>
        <w:ind w:left="360"/>
      </w:pPr>
    </w:p>
    <w:p w:rsidR="00FF2414" w:rsidRPr="00806D27" w:rsidRDefault="00FF2414" w:rsidP="00FF2414">
      <w:pPr>
        <w:pStyle w:val="Heading2"/>
        <w:rPr>
          <w:rFonts w:ascii="Times New Roman" w:hAnsi="Times New Roman"/>
          <w:sz w:val="36"/>
          <w:szCs w:val="36"/>
          <w:u w:val="single"/>
        </w:rPr>
      </w:pPr>
      <w:r w:rsidRPr="00806D27">
        <w:rPr>
          <w:rFonts w:ascii="Times New Roman" w:hAnsi="Times New Roman"/>
          <w:u w:val="single"/>
        </w:rPr>
        <w:t>Jurisdictions No Longer Subject to Increased Monitoring by the FATF</w:t>
      </w:r>
      <w:r w:rsidR="00960359" w:rsidRPr="00806D27">
        <w:rPr>
          <w:rFonts w:ascii="Times New Roman" w:hAnsi="Times New Roman"/>
          <w:u w:val="single"/>
        </w:rPr>
        <w:t xml:space="preserve"> </w:t>
      </w:r>
    </w:p>
    <w:p w:rsidR="00FF2414" w:rsidRPr="000D74D0" w:rsidRDefault="00E87D3E" w:rsidP="008B6119">
      <w:pPr>
        <w:pStyle w:val="Heading3"/>
        <w:numPr>
          <w:ilvl w:val="0"/>
          <w:numId w:val="3"/>
        </w:numPr>
        <w:rPr>
          <w:rFonts w:ascii="Times New Roman" w:hAnsi="Times New Roman"/>
          <w:b w:val="0"/>
          <w:bCs w:val="0"/>
          <w:sz w:val="24"/>
          <w:szCs w:val="24"/>
        </w:rPr>
      </w:pPr>
      <w:bookmarkStart w:id="1" w:name="_GoBack"/>
      <w:bookmarkEnd w:id="1"/>
      <w:r w:rsidRPr="000D74D0">
        <w:rPr>
          <w:rFonts w:ascii="Times New Roman" w:hAnsi="Times New Roman"/>
          <w:b w:val="0"/>
          <w:bCs w:val="0"/>
          <w:sz w:val="24"/>
          <w:szCs w:val="24"/>
        </w:rPr>
        <w:t>Philippines</w:t>
      </w:r>
    </w:p>
    <w:p w:rsidR="00C454F6" w:rsidRPr="00C454F6" w:rsidRDefault="00C454F6" w:rsidP="00C454F6"/>
    <w:p w:rsidR="00C454F6" w:rsidRPr="00C454F6" w:rsidRDefault="00C454F6" w:rsidP="00C454F6"/>
    <w:p w:rsidR="00C454F6" w:rsidRPr="00C454F6" w:rsidRDefault="00C454F6" w:rsidP="00C454F6"/>
    <w:p w:rsidR="00C454F6" w:rsidRPr="003324E4" w:rsidRDefault="00C454F6" w:rsidP="00C454F6">
      <w:pPr>
        <w:spacing w:after="0"/>
        <w:jc w:val="both"/>
        <w:rPr>
          <w:lang w:val="sr-Cyrl-RS"/>
        </w:rPr>
      </w:pPr>
    </w:p>
    <w:sectPr w:rsidR="00C454F6" w:rsidRPr="003324E4" w:rsidSect="00B30E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A14" w:rsidRDefault="009F4A14" w:rsidP="00723231">
      <w:pPr>
        <w:spacing w:after="0" w:line="240" w:lineRule="auto"/>
      </w:pPr>
      <w:r>
        <w:separator/>
      </w:r>
    </w:p>
  </w:endnote>
  <w:endnote w:type="continuationSeparator" w:id="0">
    <w:p w:rsidR="009F4A14" w:rsidRDefault="009F4A14" w:rsidP="00723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A14" w:rsidRDefault="009F4A14" w:rsidP="00723231">
      <w:pPr>
        <w:spacing w:after="0" w:line="240" w:lineRule="auto"/>
      </w:pPr>
      <w:r>
        <w:separator/>
      </w:r>
    </w:p>
  </w:footnote>
  <w:footnote w:type="continuationSeparator" w:id="0">
    <w:p w:rsidR="009F4A14" w:rsidRDefault="009F4A14" w:rsidP="00723231">
      <w:pPr>
        <w:spacing w:after="0" w:line="240" w:lineRule="auto"/>
      </w:pPr>
      <w:r>
        <w:continuationSeparator/>
      </w:r>
    </w:p>
  </w:footnote>
  <w:footnote w:id="1">
    <w:p w:rsidR="00723231" w:rsidRPr="00723231" w:rsidRDefault="00723231">
      <w:pPr>
        <w:pStyle w:val="FootnoteText"/>
        <w:rPr>
          <w:lang w:val="sr-Latn-RS"/>
        </w:rPr>
      </w:pPr>
      <w:r>
        <w:rPr>
          <w:rStyle w:val="FootnoteReference"/>
        </w:rPr>
        <w:footnoteRef/>
      </w:r>
      <w:r>
        <w:t xml:space="preserve"> </w:t>
      </w:r>
      <w:hyperlink r:id="rId1" w:history="1">
        <w:r w:rsidRPr="00723231">
          <w:rPr>
            <w:rStyle w:val="Hyperlink"/>
          </w:rPr>
          <w:t>https://www.fatf-gafi.org/en/publications/High-risk-and-other-monitored-jurisdictions/increased-monitoring-february-2025.html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C3487D"/>
    <w:multiLevelType w:val="hybridMultilevel"/>
    <w:tmpl w:val="60725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7C27BC"/>
    <w:multiLevelType w:val="hybridMultilevel"/>
    <w:tmpl w:val="428A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4A34B2"/>
    <w:multiLevelType w:val="multilevel"/>
    <w:tmpl w:val="7C62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80E"/>
    <w:rsid w:val="0001680E"/>
    <w:rsid w:val="000D74D0"/>
    <w:rsid w:val="003324E4"/>
    <w:rsid w:val="0038459C"/>
    <w:rsid w:val="003F6D01"/>
    <w:rsid w:val="004E7E84"/>
    <w:rsid w:val="00577D74"/>
    <w:rsid w:val="00595000"/>
    <w:rsid w:val="00636F11"/>
    <w:rsid w:val="00666D27"/>
    <w:rsid w:val="00723231"/>
    <w:rsid w:val="007F797E"/>
    <w:rsid w:val="00806D27"/>
    <w:rsid w:val="008B6119"/>
    <w:rsid w:val="00960359"/>
    <w:rsid w:val="009B3005"/>
    <w:rsid w:val="009F1B45"/>
    <w:rsid w:val="009F4A14"/>
    <w:rsid w:val="00A60568"/>
    <w:rsid w:val="00B30E55"/>
    <w:rsid w:val="00B55B8B"/>
    <w:rsid w:val="00C454F6"/>
    <w:rsid w:val="00D11D4B"/>
    <w:rsid w:val="00DC7055"/>
    <w:rsid w:val="00DF14D0"/>
    <w:rsid w:val="00E8668A"/>
    <w:rsid w:val="00E87D3E"/>
    <w:rsid w:val="00EA7351"/>
    <w:rsid w:val="00F93987"/>
    <w:rsid w:val="00FF2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1C62E-95F1-4FE6-A3A6-B0B45E6E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E55"/>
    <w:pPr>
      <w:spacing w:after="200" w:line="276" w:lineRule="auto"/>
    </w:pPr>
    <w:rPr>
      <w:sz w:val="22"/>
      <w:szCs w:val="22"/>
    </w:rPr>
  </w:style>
  <w:style w:type="paragraph" w:styleId="Heading1">
    <w:name w:val="heading 1"/>
    <w:basedOn w:val="Normal"/>
    <w:link w:val="Heading1Char"/>
    <w:uiPriority w:val="9"/>
    <w:qFormat/>
    <w:rsid w:val="0001680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3324E4"/>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DC7055"/>
    <w:pPr>
      <w:keepNext/>
      <w:spacing w:before="240" w:after="60"/>
      <w:outlineLvl w:val="2"/>
    </w:pPr>
    <w:rPr>
      <w:rFonts w:ascii="Calibri Light" w:eastAsia="Times New Roman" w:hAnsi="Calibri Light"/>
      <w:b/>
      <w:bCs/>
      <w:sz w:val="26"/>
      <w:szCs w:val="26"/>
    </w:rPr>
  </w:style>
  <w:style w:type="paragraph" w:styleId="Heading5">
    <w:name w:val="heading 5"/>
    <w:basedOn w:val="Normal"/>
    <w:next w:val="Normal"/>
    <w:link w:val="Heading5Char"/>
    <w:uiPriority w:val="9"/>
    <w:unhideWhenUsed/>
    <w:qFormat/>
    <w:rsid w:val="0038459C"/>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1680E"/>
    <w:rPr>
      <w:rFonts w:ascii="Times New Roman" w:eastAsia="Times New Roman" w:hAnsi="Times New Roman" w:cs="Times New Roman"/>
      <w:b/>
      <w:bCs/>
      <w:kern w:val="36"/>
      <w:sz w:val="48"/>
      <w:szCs w:val="48"/>
    </w:rPr>
  </w:style>
  <w:style w:type="paragraph" w:customStyle="1" w:styleId="default">
    <w:name w:val="default"/>
    <w:basedOn w:val="Normal"/>
    <w:rsid w:val="0001680E"/>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01680E"/>
    <w:rPr>
      <w:i/>
      <w:iCs/>
    </w:rPr>
  </w:style>
  <w:style w:type="paragraph" w:styleId="NormalWeb">
    <w:name w:val="Normal (Web)"/>
    <w:basedOn w:val="Normal"/>
    <w:uiPriority w:val="99"/>
    <w:semiHidden/>
    <w:unhideWhenUsed/>
    <w:rsid w:val="003324E4"/>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link w:val="Heading2"/>
    <w:uiPriority w:val="9"/>
    <w:semiHidden/>
    <w:rsid w:val="003324E4"/>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DC7055"/>
    <w:rPr>
      <w:rFonts w:ascii="Calibri Light" w:eastAsia="Times New Roman" w:hAnsi="Calibri Light" w:cs="Times New Roman"/>
      <w:b/>
      <w:bCs/>
      <w:sz w:val="26"/>
      <w:szCs w:val="26"/>
    </w:rPr>
  </w:style>
  <w:style w:type="character" w:styleId="CommentReference">
    <w:name w:val="annotation reference"/>
    <w:uiPriority w:val="99"/>
    <w:semiHidden/>
    <w:unhideWhenUsed/>
    <w:rsid w:val="00DC7055"/>
    <w:rPr>
      <w:sz w:val="16"/>
      <w:szCs w:val="16"/>
    </w:rPr>
  </w:style>
  <w:style w:type="paragraph" w:styleId="CommentText">
    <w:name w:val="annotation text"/>
    <w:basedOn w:val="Normal"/>
    <w:link w:val="CommentTextChar"/>
    <w:uiPriority w:val="99"/>
    <w:semiHidden/>
    <w:unhideWhenUsed/>
    <w:rsid w:val="00DC7055"/>
    <w:rPr>
      <w:sz w:val="20"/>
      <w:szCs w:val="20"/>
    </w:rPr>
  </w:style>
  <w:style w:type="character" w:customStyle="1" w:styleId="CommentTextChar">
    <w:name w:val="Comment Text Char"/>
    <w:basedOn w:val="DefaultParagraphFont"/>
    <w:link w:val="CommentText"/>
    <w:uiPriority w:val="99"/>
    <w:semiHidden/>
    <w:rsid w:val="00DC7055"/>
  </w:style>
  <w:style w:type="paragraph" w:styleId="CommentSubject">
    <w:name w:val="annotation subject"/>
    <w:basedOn w:val="CommentText"/>
    <w:next w:val="CommentText"/>
    <w:link w:val="CommentSubjectChar"/>
    <w:uiPriority w:val="99"/>
    <w:semiHidden/>
    <w:unhideWhenUsed/>
    <w:rsid w:val="00DC7055"/>
    <w:rPr>
      <w:b/>
      <w:bCs/>
    </w:rPr>
  </w:style>
  <w:style w:type="character" w:customStyle="1" w:styleId="CommentSubjectChar">
    <w:name w:val="Comment Subject Char"/>
    <w:link w:val="CommentSubject"/>
    <w:uiPriority w:val="99"/>
    <w:semiHidden/>
    <w:rsid w:val="00DC7055"/>
    <w:rPr>
      <w:b/>
      <w:bCs/>
    </w:rPr>
  </w:style>
  <w:style w:type="paragraph" w:styleId="BalloonText">
    <w:name w:val="Balloon Text"/>
    <w:basedOn w:val="Normal"/>
    <w:link w:val="BalloonTextChar"/>
    <w:uiPriority w:val="99"/>
    <w:semiHidden/>
    <w:unhideWhenUsed/>
    <w:rsid w:val="00DC705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C7055"/>
    <w:rPr>
      <w:rFonts w:ascii="Segoe UI" w:hAnsi="Segoe UI" w:cs="Segoe UI"/>
      <w:sz w:val="18"/>
      <w:szCs w:val="18"/>
    </w:rPr>
  </w:style>
  <w:style w:type="character" w:styleId="Hyperlink">
    <w:name w:val="Hyperlink"/>
    <w:uiPriority w:val="99"/>
    <w:unhideWhenUsed/>
    <w:rsid w:val="00DC7055"/>
    <w:rPr>
      <w:color w:val="0563C1"/>
      <w:u w:val="single"/>
    </w:rPr>
  </w:style>
  <w:style w:type="character" w:styleId="FollowedHyperlink">
    <w:name w:val="FollowedHyperlink"/>
    <w:uiPriority w:val="99"/>
    <w:semiHidden/>
    <w:unhideWhenUsed/>
    <w:rsid w:val="00DC7055"/>
    <w:rPr>
      <w:color w:val="954F72"/>
      <w:u w:val="single"/>
    </w:rPr>
  </w:style>
  <w:style w:type="character" w:customStyle="1" w:styleId="Heading5Char">
    <w:name w:val="Heading 5 Char"/>
    <w:link w:val="Heading5"/>
    <w:uiPriority w:val="9"/>
    <w:rsid w:val="0038459C"/>
    <w:rPr>
      <w:rFonts w:ascii="Calibri" w:eastAsia="Times New Roman" w:hAnsi="Calibri" w:cs="Times New Roman"/>
      <w:b/>
      <w:bCs/>
      <w:i/>
      <w:iCs/>
      <w:sz w:val="26"/>
      <w:szCs w:val="26"/>
    </w:rPr>
  </w:style>
  <w:style w:type="paragraph" w:styleId="NoSpacing">
    <w:name w:val="No Spacing"/>
    <w:uiPriority w:val="1"/>
    <w:qFormat/>
    <w:rsid w:val="00FF2414"/>
    <w:rPr>
      <w:sz w:val="22"/>
      <w:szCs w:val="22"/>
    </w:rPr>
  </w:style>
  <w:style w:type="paragraph" w:styleId="HTMLPreformatted">
    <w:name w:val="HTML Preformatted"/>
    <w:basedOn w:val="Normal"/>
    <w:link w:val="HTMLPreformattedChar"/>
    <w:uiPriority w:val="99"/>
    <w:semiHidden/>
    <w:unhideWhenUsed/>
    <w:rsid w:val="00FF2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FF2414"/>
    <w:rPr>
      <w:rFonts w:ascii="Courier New" w:eastAsia="Times New Roman" w:hAnsi="Courier New" w:cs="Courier New"/>
    </w:rPr>
  </w:style>
  <w:style w:type="character" w:customStyle="1" w:styleId="y2iqfc">
    <w:name w:val="y2iqfc"/>
    <w:rsid w:val="00FF2414"/>
  </w:style>
  <w:style w:type="paragraph" w:styleId="FootnoteText">
    <w:name w:val="footnote text"/>
    <w:basedOn w:val="Normal"/>
    <w:link w:val="FootnoteTextChar"/>
    <w:uiPriority w:val="99"/>
    <w:semiHidden/>
    <w:unhideWhenUsed/>
    <w:rsid w:val="007232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3231"/>
  </w:style>
  <w:style w:type="character" w:styleId="FootnoteReference">
    <w:name w:val="footnote reference"/>
    <w:basedOn w:val="DefaultParagraphFont"/>
    <w:uiPriority w:val="99"/>
    <w:semiHidden/>
    <w:unhideWhenUsed/>
    <w:rsid w:val="007232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99147">
      <w:bodyDiv w:val="1"/>
      <w:marLeft w:val="0"/>
      <w:marRight w:val="0"/>
      <w:marTop w:val="0"/>
      <w:marBottom w:val="0"/>
      <w:divBdr>
        <w:top w:val="none" w:sz="0" w:space="0" w:color="auto"/>
        <w:left w:val="none" w:sz="0" w:space="0" w:color="auto"/>
        <w:bottom w:val="none" w:sz="0" w:space="0" w:color="auto"/>
        <w:right w:val="none" w:sz="0" w:space="0" w:color="auto"/>
      </w:divBdr>
    </w:div>
    <w:div w:id="133135847">
      <w:bodyDiv w:val="1"/>
      <w:marLeft w:val="0"/>
      <w:marRight w:val="0"/>
      <w:marTop w:val="0"/>
      <w:marBottom w:val="0"/>
      <w:divBdr>
        <w:top w:val="none" w:sz="0" w:space="0" w:color="auto"/>
        <w:left w:val="none" w:sz="0" w:space="0" w:color="auto"/>
        <w:bottom w:val="none" w:sz="0" w:space="0" w:color="auto"/>
        <w:right w:val="none" w:sz="0" w:space="0" w:color="auto"/>
      </w:divBdr>
    </w:div>
    <w:div w:id="166288767">
      <w:bodyDiv w:val="1"/>
      <w:marLeft w:val="0"/>
      <w:marRight w:val="0"/>
      <w:marTop w:val="0"/>
      <w:marBottom w:val="0"/>
      <w:divBdr>
        <w:top w:val="none" w:sz="0" w:space="0" w:color="auto"/>
        <w:left w:val="none" w:sz="0" w:space="0" w:color="auto"/>
        <w:bottom w:val="none" w:sz="0" w:space="0" w:color="auto"/>
        <w:right w:val="none" w:sz="0" w:space="0" w:color="auto"/>
      </w:divBdr>
    </w:div>
    <w:div w:id="220336153">
      <w:bodyDiv w:val="1"/>
      <w:marLeft w:val="0"/>
      <w:marRight w:val="0"/>
      <w:marTop w:val="0"/>
      <w:marBottom w:val="0"/>
      <w:divBdr>
        <w:top w:val="none" w:sz="0" w:space="0" w:color="auto"/>
        <w:left w:val="none" w:sz="0" w:space="0" w:color="auto"/>
        <w:bottom w:val="none" w:sz="0" w:space="0" w:color="auto"/>
        <w:right w:val="none" w:sz="0" w:space="0" w:color="auto"/>
      </w:divBdr>
    </w:div>
    <w:div w:id="308444528">
      <w:bodyDiv w:val="1"/>
      <w:marLeft w:val="0"/>
      <w:marRight w:val="0"/>
      <w:marTop w:val="0"/>
      <w:marBottom w:val="0"/>
      <w:divBdr>
        <w:top w:val="none" w:sz="0" w:space="0" w:color="auto"/>
        <w:left w:val="none" w:sz="0" w:space="0" w:color="auto"/>
        <w:bottom w:val="none" w:sz="0" w:space="0" w:color="auto"/>
        <w:right w:val="none" w:sz="0" w:space="0" w:color="auto"/>
      </w:divBdr>
      <w:divsChild>
        <w:div w:id="893855580">
          <w:marLeft w:val="0"/>
          <w:marRight w:val="0"/>
          <w:marTop w:val="0"/>
          <w:marBottom w:val="0"/>
          <w:divBdr>
            <w:top w:val="none" w:sz="0" w:space="0" w:color="auto"/>
            <w:left w:val="none" w:sz="0" w:space="0" w:color="auto"/>
            <w:bottom w:val="none" w:sz="0" w:space="0" w:color="auto"/>
            <w:right w:val="none" w:sz="0" w:space="0" w:color="auto"/>
          </w:divBdr>
          <w:divsChild>
            <w:div w:id="14293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71762">
      <w:bodyDiv w:val="1"/>
      <w:marLeft w:val="0"/>
      <w:marRight w:val="0"/>
      <w:marTop w:val="0"/>
      <w:marBottom w:val="0"/>
      <w:divBdr>
        <w:top w:val="none" w:sz="0" w:space="0" w:color="auto"/>
        <w:left w:val="none" w:sz="0" w:space="0" w:color="auto"/>
        <w:bottom w:val="none" w:sz="0" w:space="0" w:color="auto"/>
        <w:right w:val="none" w:sz="0" w:space="0" w:color="auto"/>
      </w:divBdr>
    </w:div>
    <w:div w:id="426118572">
      <w:bodyDiv w:val="1"/>
      <w:marLeft w:val="0"/>
      <w:marRight w:val="0"/>
      <w:marTop w:val="0"/>
      <w:marBottom w:val="0"/>
      <w:divBdr>
        <w:top w:val="none" w:sz="0" w:space="0" w:color="auto"/>
        <w:left w:val="none" w:sz="0" w:space="0" w:color="auto"/>
        <w:bottom w:val="none" w:sz="0" w:space="0" w:color="auto"/>
        <w:right w:val="none" w:sz="0" w:space="0" w:color="auto"/>
      </w:divBdr>
    </w:div>
    <w:div w:id="429470792">
      <w:bodyDiv w:val="1"/>
      <w:marLeft w:val="0"/>
      <w:marRight w:val="0"/>
      <w:marTop w:val="0"/>
      <w:marBottom w:val="0"/>
      <w:divBdr>
        <w:top w:val="none" w:sz="0" w:space="0" w:color="auto"/>
        <w:left w:val="none" w:sz="0" w:space="0" w:color="auto"/>
        <w:bottom w:val="none" w:sz="0" w:space="0" w:color="auto"/>
        <w:right w:val="none" w:sz="0" w:space="0" w:color="auto"/>
      </w:divBdr>
    </w:div>
    <w:div w:id="442844711">
      <w:bodyDiv w:val="1"/>
      <w:marLeft w:val="0"/>
      <w:marRight w:val="0"/>
      <w:marTop w:val="0"/>
      <w:marBottom w:val="0"/>
      <w:divBdr>
        <w:top w:val="none" w:sz="0" w:space="0" w:color="auto"/>
        <w:left w:val="none" w:sz="0" w:space="0" w:color="auto"/>
        <w:bottom w:val="none" w:sz="0" w:space="0" w:color="auto"/>
        <w:right w:val="none" w:sz="0" w:space="0" w:color="auto"/>
      </w:divBdr>
    </w:div>
    <w:div w:id="508716928">
      <w:bodyDiv w:val="1"/>
      <w:marLeft w:val="0"/>
      <w:marRight w:val="0"/>
      <w:marTop w:val="0"/>
      <w:marBottom w:val="0"/>
      <w:divBdr>
        <w:top w:val="none" w:sz="0" w:space="0" w:color="auto"/>
        <w:left w:val="none" w:sz="0" w:space="0" w:color="auto"/>
        <w:bottom w:val="none" w:sz="0" w:space="0" w:color="auto"/>
        <w:right w:val="none" w:sz="0" w:space="0" w:color="auto"/>
      </w:divBdr>
    </w:div>
    <w:div w:id="574319968">
      <w:bodyDiv w:val="1"/>
      <w:marLeft w:val="0"/>
      <w:marRight w:val="0"/>
      <w:marTop w:val="0"/>
      <w:marBottom w:val="0"/>
      <w:divBdr>
        <w:top w:val="none" w:sz="0" w:space="0" w:color="auto"/>
        <w:left w:val="none" w:sz="0" w:space="0" w:color="auto"/>
        <w:bottom w:val="none" w:sz="0" w:space="0" w:color="auto"/>
        <w:right w:val="none" w:sz="0" w:space="0" w:color="auto"/>
      </w:divBdr>
    </w:div>
    <w:div w:id="594747421">
      <w:bodyDiv w:val="1"/>
      <w:marLeft w:val="0"/>
      <w:marRight w:val="0"/>
      <w:marTop w:val="0"/>
      <w:marBottom w:val="0"/>
      <w:divBdr>
        <w:top w:val="none" w:sz="0" w:space="0" w:color="auto"/>
        <w:left w:val="none" w:sz="0" w:space="0" w:color="auto"/>
        <w:bottom w:val="none" w:sz="0" w:space="0" w:color="auto"/>
        <w:right w:val="none" w:sz="0" w:space="0" w:color="auto"/>
      </w:divBdr>
    </w:div>
    <w:div w:id="620916759">
      <w:bodyDiv w:val="1"/>
      <w:marLeft w:val="0"/>
      <w:marRight w:val="0"/>
      <w:marTop w:val="0"/>
      <w:marBottom w:val="0"/>
      <w:divBdr>
        <w:top w:val="none" w:sz="0" w:space="0" w:color="auto"/>
        <w:left w:val="none" w:sz="0" w:space="0" w:color="auto"/>
        <w:bottom w:val="none" w:sz="0" w:space="0" w:color="auto"/>
        <w:right w:val="none" w:sz="0" w:space="0" w:color="auto"/>
      </w:divBdr>
    </w:div>
    <w:div w:id="641542332">
      <w:bodyDiv w:val="1"/>
      <w:marLeft w:val="0"/>
      <w:marRight w:val="0"/>
      <w:marTop w:val="0"/>
      <w:marBottom w:val="0"/>
      <w:divBdr>
        <w:top w:val="none" w:sz="0" w:space="0" w:color="auto"/>
        <w:left w:val="none" w:sz="0" w:space="0" w:color="auto"/>
        <w:bottom w:val="none" w:sz="0" w:space="0" w:color="auto"/>
        <w:right w:val="none" w:sz="0" w:space="0" w:color="auto"/>
      </w:divBdr>
    </w:div>
    <w:div w:id="643005492">
      <w:bodyDiv w:val="1"/>
      <w:marLeft w:val="0"/>
      <w:marRight w:val="0"/>
      <w:marTop w:val="0"/>
      <w:marBottom w:val="0"/>
      <w:divBdr>
        <w:top w:val="none" w:sz="0" w:space="0" w:color="auto"/>
        <w:left w:val="none" w:sz="0" w:space="0" w:color="auto"/>
        <w:bottom w:val="none" w:sz="0" w:space="0" w:color="auto"/>
        <w:right w:val="none" w:sz="0" w:space="0" w:color="auto"/>
      </w:divBdr>
    </w:div>
    <w:div w:id="703096570">
      <w:bodyDiv w:val="1"/>
      <w:marLeft w:val="0"/>
      <w:marRight w:val="0"/>
      <w:marTop w:val="0"/>
      <w:marBottom w:val="0"/>
      <w:divBdr>
        <w:top w:val="none" w:sz="0" w:space="0" w:color="auto"/>
        <w:left w:val="none" w:sz="0" w:space="0" w:color="auto"/>
        <w:bottom w:val="none" w:sz="0" w:space="0" w:color="auto"/>
        <w:right w:val="none" w:sz="0" w:space="0" w:color="auto"/>
      </w:divBdr>
    </w:div>
    <w:div w:id="719935546">
      <w:bodyDiv w:val="1"/>
      <w:marLeft w:val="0"/>
      <w:marRight w:val="0"/>
      <w:marTop w:val="0"/>
      <w:marBottom w:val="0"/>
      <w:divBdr>
        <w:top w:val="none" w:sz="0" w:space="0" w:color="auto"/>
        <w:left w:val="none" w:sz="0" w:space="0" w:color="auto"/>
        <w:bottom w:val="none" w:sz="0" w:space="0" w:color="auto"/>
        <w:right w:val="none" w:sz="0" w:space="0" w:color="auto"/>
      </w:divBdr>
    </w:div>
    <w:div w:id="727730346">
      <w:bodyDiv w:val="1"/>
      <w:marLeft w:val="0"/>
      <w:marRight w:val="0"/>
      <w:marTop w:val="0"/>
      <w:marBottom w:val="0"/>
      <w:divBdr>
        <w:top w:val="none" w:sz="0" w:space="0" w:color="auto"/>
        <w:left w:val="none" w:sz="0" w:space="0" w:color="auto"/>
        <w:bottom w:val="none" w:sz="0" w:space="0" w:color="auto"/>
        <w:right w:val="none" w:sz="0" w:space="0" w:color="auto"/>
      </w:divBdr>
    </w:div>
    <w:div w:id="767695955">
      <w:bodyDiv w:val="1"/>
      <w:marLeft w:val="0"/>
      <w:marRight w:val="0"/>
      <w:marTop w:val="0"/>
      <w:marBottom w:val="0"/>
      <w:divBdr>
        <w:top w:val="none" w:sz="0" w:space="0" w:color="auto"/>
        <w:left w:val="none" w:sz="0" w:space="0" w:color="auto"/>
        <w:bottom w:val="none" w:sz="0" w:space="0" w:color="auto"/>
        <w:right w:val="none" w:sz="0" w:space="0" w:color="auto"/>
      </w:divBdr>
    </w:div>
    <w:div w:id="795756130">
      <w:bodyDiv w:val="1"/>
      <w:marLeft w:val="0"/>
      <w:marRight w:val="0"/>
      <w:marTop w:val="0"/>
      <w:marBottom w:val="0"/>
      <w:divBdr>
        <w:top w:val="none" w:sz="0" w:space="0" w:color="auto"/>
        <w:left w:val="none" w:sz="0" w:space="0" w:color="auto"/>
        <w:bottom w:val="none" w:sz="0" w:space="0" w:color="auto"/>
        <w:right w:val="none" w:sz="0" w:space="0" w:color="auto"/>
      </w:divBdr>
    </w:div>
    <w:div w:id="803162280">
      <w:bodyDiv w:val="1"/>
      <w:marLeft w:val="0"/>
      <w:marRight w:val="0"/>
      <w:marTop w:val="0"/>
      <w:marBottom w:val="0"/>
      <w:divBdr>
        <w:top w:val="none" w:sz="0" w:space="0" w:color="auto"/>
        <w:left w:val="none" w:sz="0" w:space="0" w:color="auto"/>
        <w:bottom w:val="none" w:sz="0" w:space="0" w:color="auto"/>
        <w:right w:val="none" w:sz="0" w:space="0" w:color="auto"/>
      </w:divBdr>
    </w:div>
    <w:div w:id="835153330">
      <w:bodyDiv w:val="1"/>
      <w:marLeft w:val="0"/>
      <w:marRight w:val="0"/>
      <w:marTop w:val="0"/>
      <w:marBottom w:val="0"/>
      <w:divBdr>
        <w:top w:val="none" w:sz="0" w:space="0" w:color="auto"/>
        <w:left w:val="none" w:sz="0" w:space="0" w:color="auto"/>
        <w:bottom w:val="none" w:sz="0" w:space="0" w:color="auto"/>
        <w:right w:val="none" w:sz="0" w:space="0" w:color="auto"/>
      </w:divBdr>
    </w:div>
    <w:div w:id="890531155">
      <w:bodyDiv w:val="1"/>
      <w:marLeft w:val="0"/>
      <w:marRight w:val="0"/>
      <w:marTop w:val="0"/>
      <w:marBottom w:val="0"/>
      <w:divBdr>
        <w:top w:val="none" w:sz="0" w:space="0" w:color="auto"/>
        <w:left w:val="none" w:sz="0" w:space="0" w:color="auto"/>
        <w:bottom w:val="none" w:sz="0" w:space="0" w:color="auto"/>
        <w:right w:val="none" w:sz="0" w:space="0" w:color="auto"/>
      </w:divBdr>
    </w:div>
    <w:div w:id="979306566">
      <w:bodyDiv w:val="1"/>
      <w:marLeft w:val="0"/>
      <w:marRight w:val="0"/>
      <w:marTop w:val="0"/>
      <w:marBottom w:val="0"/>
      <w:divBdr>
        <w:top w:val="none" w:sz="0" w:space="0" w:color="auto"/>
        <w:left w:val="none" w:sz="0" w:space="0" w:color="auto"/>
        <w:bottom w:val="none" w:sz="0" w:space="0" w:color="auto"/>
        <w:right w:val="none" w:sz="0" w:space="0" w:color="auto"/>
      </w:divBdr>
      <w:divsChild>
        <w:div w:id="201329579">
          <w:marLeft w:val="0"/>
          <w:marRight w:val="0"/>
          <w:marTop w:val="0"/>
          <w:marBottom w:val="0"/>
          <w:divBdr>
            <w:top w:val="none" w:sz="0" w:space="0" w:color="auto"/>
            <w:left w:val="none" w:sz="0" w:space="0" w:color="auto"/>
            <w:bottom w:val="none" w:sz="0" w:space="0" w:color="auto"/>
            <w:right w:val="none" w:sz="0" w:space="0" w:color="auto"/>
          </w:divBdr>
          <w:divsChild>
            <w:div w:id="9722923">
              <w:marLeft w:val="0"/>
              <w:marRight w:val="0"/>
              <w:marTop w:val="0"/>
              <w:marBottom w:val="0"/>
              <w:divBdr>
                <w:top w:val="none" w:sz="0" w:space="0" w:color="auto"/>
                <w:left w:val="none" w:sz="0" w:space="0" w:color="auto"/>
                <w:bottom w:val="none" w:sz="0" w:space="0" w:color="auto"/>
                <w:right w:val="none" w:sz="0" w:space="0" w:color="auto"/>
              </w:divBdr>
            </w:div>
          </w:divsChild>
        </w:div>
        <w:div w:id="498011340">
          <w:marLeft w:val="0"/>
          <w:marRight w:val="0"/>
          <w:marTop w:val="0"/>
          <w:marBottom w:val="0"/>
          <w:divBdr>
            <w:top w:val="none" w:sz="0" w:space="0" w:color="auto"/>
            <w:left w:val="none" w:sz="0" w:space="0" w:color="auto"/>
            <w:bottom w:val="none" w:sz="0" w:space="0" w:color="auto"/>
            <w:right w:val="none" w:sz="0" w:space="0" w:color="auto"/>
          </w:divBdr>
          <w:divsChild>
            <w:div w:id="185560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4960">
      <w:bodyDiv w:val="1"/>
      <w:marLeft w:val="0"/>
      <w:marRight w:val="0"/>
      <w:marTop w:val="0"/>
      <w:marBottom w:val="0"/>
      <w:divBdr>
        <w:top w:val="none" w:sz="0" w:space="0" w:color="auto"/>
        <w:left w:val="none" w:sz="0" w:space="0" w:color="auto"/>
        <w:bottom w:val="none" w:sz="0" w:space="0" w:color="auto"/>
        <w:right w:val="none" w:sz="0" w:space="0" w:color="auto"/>
      </w:divBdr>
    </w:div>
    <w:div w:id="1021592616">
      <w:bodyDiv w:val="1"/>
      <w:marLeft w:val="0"/>
      <w:marRight w:val="0"/>
      <w:marTop w:val="0"/>
      <w:marBottom w:val="0"/>
      <w:divBdr>
        <w:top w:val="none" w:sz="0" w:space="0" w:color="auto"/>
        <w:left w:val="none" w:sz="0" w:space="0" w:color="auto"/>
        <w:bottom w:val="none" w:sz="0" w:space="0" w:color="auto"/>
        <w:right w:val="none" w:sz="0" w:space="0" w:color="auto"/>
      </w:divBdr>
    </w:div>
    <w:div w:id="1046413492">
      <w:bodyDiv w:val="1"/>
      <w:marLeft w:val="0"/>
      <w:marRight w:val="0"/>
      <w:marTop w:val="0"/>
      <w:marBottom w:val="0"/>
      <w:divBdr>
        <w:top w:val="none" w:sz="0" w:space="0" w:color="auto"/>
        <w:left w:val="none" w:sz="0" w:space="0" w:color="auto"/>
        <w:bottom w:val="none" w:sz="0" w:space="0" w:color="auto"/>
        <w:right w:val="none" w:sz="0" w:space="0" w:color="auto"/>
      </w:divBdr>
    </w:div>
    <w:div w:id="1167749547">
      <w:bodyDiv w:val="1"/>
      <w:marLeft w:val="0"/>
      <w:marRight w:val="0"/>
      <w:marTop w:val="0"/>
      <w:marBottom w:val="0"/>
      <w:divBdr>
        <w:top w:val="none" w:sz="0" w:space="0" w:color="auto"/>
        <w:left w:val="none" w:sz="0" w:space="0" w:color="auto"/>
        <w:bottom w:val="none" w:sz="0" w:space="0" w:color="auto"/>
        <w:right w:val="none" w:sz="0" w:space="0" w:color="auto"/>
      </w:divBdr>
    </w:div>
    <w:div w:id="1209957355">
      <w:bodyDiv w:val="1"/>
      <w:marLeft w:val="0"/>
      <w:marRight w:val="0"/>
      <w:marTop w:val="0"/>
      <w:marBottom w:val="0"/>
      <w:divBdr>
        <w:top w:val="none" w:sz="0" w:space="0" w:color="auto"/>
        <w:left w:val="none" w:sz="0" w:space="0" w:color="auto"/>
        <w:bottom w:val="none" w:sz="0" w:space="0" w:color="auto"/>
        <w:right w:val="none" w:sz="0" w:space="0" w:color="auto"/>
      </w:divBdr>
    </w:div>
    <w:div w:id="1232695716">
      <w:bodyDiv w:val="1"/>
      <w:marLeft w:val="0"/>
      <w:marRight w:val="0"/>
      <w:marTop w:val="0"/>
      <w:marBottom w:val="0"/>
      <w:divBdr>
        <w:top w:val="none" w:sz="0" w:space="0" w:color="auto"/>
        <w:left w:val="none" w:sz="0" w:space="0" w:color="auto"/>
        <w:bottom w:val="none" w:sz="0" w:space="0" w:color="auto"/>
        <w:right w:val="none" w:sz="0" w:space="0" w:color="auto"/>
      </w:divBdr>
    </w:div>
    <w:div w:id="1237277286">
      <w:bodyDiv w:val="1"/>
      <w:marLeft w:val="0"/>
      <w:marRight w:val="0"/>
      <w:marTop w:val="0"/>
      <w:marBottom w:val="0"/>
      <w:divBdr>
        <w:top w:val="none" w:sz="0" w:space="0" w:color="auto"/>
        <w:left w:val="none" w:sz="0" w:space="0" w:color="auto"/>
        <w:bottom w:val="none" w:sz="0" w:space="0" w:color="auto"/>
        <w:right w:val="none" w:sz="0" w:space="0" w:color="auto"/>
      </w:divBdr>
    </w:div>
    <w:div w:id="1373923682">
      <w:bodyDiv w:val="1"/>
      <w:marLeft w:val="0"/>
      <w:marRight w:val="0"/>
      <w:marTop w:val="0"/>
      <w:marBottom w:val="0"/>
      <w:divBdr>
        <w:top w:val="none" w:sz="0" w:space="0" w:color="auto"/>
        <w:left w:val="none" w:sz="0" w:space="0" w:color="auto"/>
        <w:bottom w:val="none" w:sz="0" w:space="0" w:color="auto"/>
        <w:right w:val="none" w:sz="0" w:space="0" w:color="auto"/>
      </w:divBdr>
    </w:div>
    <w:div w:id="1558660101">
      <w:bodyDiv w:val="1"/>
      <w:marLeft w:val="0"/>
      <w:marRight w:val="0"/>
      <w:marTop w:val="0"/>
      <w:marBottom w:val="0"/>
      <w:divBdr>
        <w:top w:val="none" w:sz="0" w:space="0" w:color="auto"/>
        <w:left w:val="none" w:sz="0" w:space="0" w:color="auto"/>
        <w:bottom w:val="none" w:sz="0" w:space="0" w:color="auto"/>
        <w:right w:val="none" w:sz="0" w:space="0" w:color="auto"/>
      </w:divBdr>
    </w:div>
    <w:div w:id="1565094848">
      <w:bodyDiv w:val="1"/>
      <w:marLeft w:val="0"/>
      <w:marRight w:val="0"/>
      <w:marTop w:val="0"/>
      <w:marBottom w:val="0"/>
      <w:divBdr>
        <w:top w:val="none" w:sz="0" w:space="0" w:color="auto"/>
        <w:left w:val="none" w:sz="0" w:space="0" w:color="auto"/>
        <w:bottom w:val="none" w:sz="0" w:space="0" w:color="auto"/>
        <w:right w:val="none" w:sz="0" w:space="0" w:color="auto"/>
      </w:divBdr>
    </w:div>
    <w:div w:id="1578858564">
      <w:bodyDiv w:val="1"/>
      <w:marLeft w:val="0"/>
      <w:marRight w:val="0"/>
      <w:marTop w:val="0"/>
      <w:marBottom w:val="0"/>
      <w:divBdr>
        <w:top w:val="none" w:sz="0" w:space="0" w:color="auto"/>
        <w:left w:val="none" w:sz="0" w:space="0" w:color="auto"/>
        <w:bottom w:val="none" w:sz="0" w:space="0" w:color="auto"/>
        <w:right w:val="none" w:sz="0" w:space="0" w:color="auto"/>
      </w:divBdr>
    </w:div>
    <w:div w:id="1686664397">
      <w:bodyDiv w:val="1"/>
      <w:marLeft w:val="0"/>
      <w:marRight w:val="0"/>
      <w:marTop w:val="0"/>
      <w:marBottom w:val="0"/>
      <w:divBdr>
        <w:top w:val="none" w:sz="0" w:space="0" w:color="auto"/>
        <w:left w:val="none" w:sz="0" w:space="0" w:color="auto"/>
        <w:bottom w:val="none" w:sz="0" w:space="0" w:color="auto"/>
        <w:right w:val="none" w:sz="0" w:space="0" w:color="auto"/>
      </w:divBdr>
      <w:divsChild>
        <w:div w:id="752821840">
          <w:marLeft w:val="0"/>
          <w:marRight w:val="0"/>
          <w:marTop w:val="0"/>
          <w:marBottom w:val="0"/>
          <w:divBdr>
            <w:top w:val="none" w:sz="0" w:space="0" w:color="auto"/>
            <w:left w:val="none" w:sz="0" w:space="0" w:color="auto"/>
            <w:bottom w:val="none" w:sz="0" w:space="0" w:color="auto"/>
            <w:right w:val="none" w:sz="0" w:space="0" w:color="auto"/>
          </w:divBdr>
        </w:div>
      </w:divsChild>
    </w:div>
    <w:div w:id="1699311959">
      <w:bodyDiv w:val="1"/>
      <w:marLeft w:val="0"/>
      <w:marRight w:val="0"/>
      <w:marTop w:val="0"/>
      <w:marBottom w:val="0"/>
      <w:divBdr>
        <w:top w:val="none" w:sz="0" w:space="0" w:color="auto"/>
        <w:left w:val="none" w:sz="0" w:space="0" w:color="auto"/>
        <w:bottom w:val="none" w:sz="0" w:space="0" w:color="auto"/>
        <w:right w:val="none" w:sz="0" w:space="0" w:color="auto"/>
      </w:divBdr>
    </w:div>
    <w:div w:id="1712487168">
      <w:bodyDiv w:val="1"/>
      <w:marLeft w:val="0"/>
      <w:marRight w:val="0"/>
      <w:marTop w:val="0"/>
      <w:marBottom w:val="0"/>
      <w:divBdr>
        <w:top w:val="none" w:sz="0" w:space="0" w:color="auto"/>
        <w:left w:val="none" w:sz="0" w:space="0" w:color="auto"/>
        <w:bottom w:val="none" w:sz="0" w:space="0" w:color="auto"/>
        <w:right w:val="none" w:sz="0" w:space="0" w:color="auto"/>
      </w:divBdr>
    </w:div>
    <w:div w:id="1749495593">
      <w:bodyDiv w:val="1"/>
      <w:marLeft w:val="0"/>
      <w:marRight w:val="0"/>
      <w:marTop w:val="0"/>
      <w:marBottom w:val="0"/>
      <w:divBdr>
        <w:top w:val="none" w:sz="0" w:space="0" w:color="auto"/>
        <w:left w:val="none" w:sz="0" w:space="0" w:color="auto"/>
        <w:bottom w:val="none" w:sz="0" w:space="0" w:color="auto"/>
        <w:right w:val="none" w:sz="0" w:space="0" w:color="auto"/>
      </w:divBdr>
    </w:div>
    <w:div w:id="1762942755">
      <w:bodyDiv w:val="1"/>
      <w:marLeft w:val="0"/>
      <w:marRight w:val="0"/>
      <w:marTop w:val="0"/>
      <w:marBottom w:val="0"/>
      <w:divBdr>
        <w:top w:val="none" w:sz="0" w:space="0" w:color="auto"/>
        <w:left w:val="none" w:sz="0" w:space="0" w:color="auto"/>
        <w:bottom w:val="none" w:sz="0" w:space="0" w:color="auto"/>
        <w:right w:val="none" w:sz="0" w:space="0" w:color="auto"/>
      </w:divBdr>
    </w:div>
    <w:div w:id="1883203511">
      <w:bodyDiv w:val="1"/>
      <w:marLeft w:val="0"/>
      <w:marRight w:val="0"/>
      <w:marTop w:val="0"/>
      <w:marBottom w:val="0"/>
      <w:divBdr>
        <w:top w:val="none" w:sz="0" w:space="0" w:color="auto"/>
        <w:left w:val="none" w:sz="0" w:space="0" w:color="auto"/>
        <w:bottom w:val="none" w:sz="0" w:space="0" w:color="auto"/>
        <w:right w:val="none" w:sz="0" w:space="0" w:color="auto"/>
      </w:divBdr>
    </w:div>
    <w:div w:id="1995332650">
      <w:bodyDiv w:val="1"/>
      <w:marLeft w:val="0"/>
      <w:marRight w:val="0"/>
      <w:marTop w:val="0"/>
      <w:marBottom w:val="0"/>
      <w:divBdr>
        <w:top w:val="none" w:sz="0" w:space="0" w:color="auto"/>
        <w:left w:val="none" w:sz="0" w:space="0" w:color="auto"/>
        <w:bottom w:val="none" w:sz="0" w:space="0" w:color="auto"/>
        <w:right w:val="none" w:sz="0" w:space="0" w:color="auto"/>
      </w:divBdr>
    </w:div>
    <w:div w:id="2037999031">
      <w:bodyDiv w:val="1"/>
      <w:marLeft w:val="0"/>
      <w:marRight w:val="0"/>
      <w:marTop w:val="0"/>
      <w:marBottom w:val="0"/>
      <w:divBdr>
        <w:top w:val="none" w:sz="0" w:space="0" w:color="auto"/>
        <w:left w:val="none" w:sz="0" w:space="0" w:color="auto"/>
        <w:bottom w:val="none" w:sz="0" w:space="0" w:color="auto"/>
        <w:right w:val="none" w:sz="0" w:space="0" w:color="auto"/>
      </w:divBdr>
    </w:div>
    <w:div w:id="2101217952">
      <w:bodyDiv w:val="1"/>
      <w:marLeft w:val="0"/>
      <w:marRight w:val="0"/>
      <w:marTop w:val="0"/>
      <w:marBottom w:val="0"/>
      <w:divBdr>
        <w:top w:val="none" w:sz="0" w:space="0" w:color="auto"/>
        <w:left w:val="none" w:sz="0" w:space="0" w:color="auto"/>
        <w:bottom w:val="none" w:sz="0" w:space="0" w:color="auto"/>
        <w:right w:val="none" w:sz="0" w:space="0" w:color="auto"/>
      </w:divBdr>
    </w:div>
    <w:div w:id="214422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tf-gafi.org/en/publications/High-risk-and-other-monitored-jurisdictions/Call-for-action-february-202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atf-gafi.org/en/publications/High-risk-and-other-monitored-jurisdictions/increased-monitoring-february-2025.html" TargetMode="External"/><Relationship Id="rId4" Type="http://schemas.openxmlformats.org/officeDocument/2006/relationships/settings" Target="settings.xml"/><Relationship Id="rId9" Type="http://schemas.openxmlformats.org/officeDocument/2006/relationships/hyperlink" Target="https://www.fatf-gafi.org/en/publications/High-risk-and-other-monitored-jurisdictions/Call-for-action-february-2025.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atf-gafi.org/en/publications/High-risk-and-other-monitored-jurisdictions/increased-monitoring-february-202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A617E-F885-438C-BDF5-8E6BAB28F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1927</Words>
  <Characters>10985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Uprava za sprecavanje pranja novca</Company>
  <LinksUpToDate>false</LinksUpToDate>
  <CharactersWithSpaces>12887</CharactersWithSpaces>
  <SharedDoc>false</SharedDoc>
  <HLinks>
    <vt:vector size="42" baseType="variant">
      <vt:variant>
        <vt:i4>5111815</vt:i4>
      </vt:variant>
      <vt:variant>
        <vt:i4>18</vt:i4>
      </vt:variant>
      <vt:variant>
        <vt:i4>0</vt:i4>
      </vt:variant>
      <vt:variant>
        <vt:i4>5</vt:i4>
      </vt:variant>
      <vt:variant>
        <vt:lpwstr>https://www.fatf-gafi.org/en/publications/High-risk-and-other-monitored-jurisdictions/increased-monitoring-october-2024.html</vt:lpwstr>
      </vt:variant>
      <vt:variant>
        <vt:lpwstr/>
      </vt:variant>
      <vt:variant>
        <vt:i4>7864433</vt:i4>
      </vt:variant>
      <vt:variant>
        <vt:i4>15</vt:i4>
      </vt:variant>
      <vt:variant>
        <vt:i4>0</vt:i4>
      </vt:variant>
      <vt:variant>
        <vt:i4>5</vt:i4>
      </vt:variant>
      <vt:variant>
        <vt:lpwstr>https://oecd-my.sharepoint.com/personal/clare_ohare-darmagnac_fatf-gafi_org/Documents/Desktop/PLENARY/June 2024/ICRG.docx</vt:lpwstr>
      </vt:variant>
      <vt:variant>
        <vt:lpwstr>_ftnref2</vt:lpwstr>
      </vt:variant>
      <vt:variant>
        <vt:i4>8061041</vt:i4>
      </vt:variant>
      <vt:variant>
        <vt:i4>12</vt:i4>
      </vt:variant>
      <vt:variant>
        <vt:i4>0</vt:i4>
      </vt:variant>
      <vt:variant>
        <vt:i4>5</vt:i4>
      </vt:variant>
      <vt:variant>
        <vt:lpwstr>https://oecd-my.sharepoint.com/personal/clare_ohare-darmagnac_fatf-gafi_org/Documents/Desktop/PLENARY/June 2024/ICRG.docx</vt:lpwstr>
      </vt:variant>
      <vt:variant>
        <vt:lpwstr>_ftnref1</vt:lpwstr>
      </vt:variant>
      <vt:variant>
        <vt:i4>2752553</vt:i4>
      </vt:variant>
      <vt:variant>
        <vt:i4>9</vt:i4>
      </vt:variant>
      <vt:variant>
        <vt:i4>0</vt:i4>
      </vt:variant>
      <vt:variant>
        <vt:i4>5</vt:i4>
      </vt:variant>
      <vt:variant>
        <vt:lpwstr>https://www.fatf-gafi.org/en/publications/High-risk-and-other-monitored-jurisdictions/Call-for-action-october-2024.html</vt:lpwstr>
      </vt:variant>
      <vt:variant>
        <vt:lpwstr/>
      </vt:variant>
      <vt:variant>
        <vt:i4>3080293</vt:i4>
      </vt:variant>
      <vt:variant>
        <vt:i4>6</vt:i4>
      </vt:variant>
      <vt:variant>
        <vt:i4>0</vt:i4>
      </vt:variant>
      <vt:variant>
        <vt:i4>5</vt:i4>
      </vt:variant>
      <vt:variant>
        <vt:lpwstr>https://oecd-my.sharepoint.com/personal/clare_ohare-darmagnac_fatf-gafi_org/Documents/Desktop/PLENARY/June 2024/ICRG.docx</vt:lpwstr>
      </vt:variant>
      <vt:variant>
        <vt:lpwstr>_ftn2</vt:lpwstr>
      </vt:variant>
      <vt:variant>
        <vt:i4>7471206</vt:i4>
      </vt:variant>
      <vt:variant>
        <vt:i4>3</vt:i4>
      </vt:variant>
      <vt:variant>
        <vt:i4>0</vt:i4>
      </vt:variant>
      <vt:variant>
        <vt:i4>5</vt:i4>
      </vt:variant>
      <vt:variant>
        <vt:lpwstr>https://oecd-my.sharepoint.com/personal/clare_ohare-darmagnac_fatf-gafi_org/Documents/Desktop/PLENARY/October 2024/Public Statements.docx</vt:lpwstr>
      </vt:variant>
      <vt:variant>
        <vt:lpwstr>_ftn1</vt:lpwstr>
      </vt:variant>
      <vt:variant>
        <vt:i4>2752553</vt:i4>
      </vt:variant>
      <vt:variant>
        <vt:i4>0</vt:i4>
      </vt:variant>
      <vt:variant>
        <vt:i4>0</vt:i4>
      </vt:variant>
      <vt:variant>
        <vt:i4>5</vt:i4>
      </vt:variant>
      <vt:variant>
        <vt:lpwstr>https://www.fatf-gafi.org/en/publications/High-risk-and-other-monitored-jurisdictions/Call-for-action-october-2024.html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jovanav</dc:creator>
  <cp:keywords/>
  <dc:description/>
  <cp:lastModifiedBy>Vanja Risteski</cp:lastModifiedBy>
  <cp:revision>2</cp:revision>
  <dcterms:created xsi:type="dcterms:W3CDTF">2025-03-18T10:54:00Z</dcterms:created>
  <dcterms:modified xsi:type="dcterms:W3CDTF">2025-03-18T10:54:00Z</dcterms:modified>
</cp:coreProperties>
</file>